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81CE" w14:textId="77777777" w:rsidR="00424A5A" w:rsidRPr="000C39FE" w:rsidRDefault="00F16D02">
      <w:pPr>
        <w:rPr>
          <w:rFonts w:ascii="Tahoma" w:hAnsi="Tahoma" w:cs="Tahoma"/>
          <w:sz w:val="20"/>
          <w:szCs w:val="20"/>
        </w:rPr>
      </w:pPr>
      <w:r w:rsidRPr="000C39FE">
        <w:rPr>
          <w:rFonts w:ascii="Tahoma" w:hAnsi="Tahoma" w:cs="Tahoma"/>
          <w:noProof/>
          <w:sz w:val="20"/>
          <w:szCs w:val="20"/>
          <w:lang w:eastAsia="sl-SI"/>
        </w:rPr>
        <w:drawing>
          <wp:anchor distT="0" distB="0" distL="114300" distR="114300" simplePos="0" relativeHeight="251657728" behindDoc="1" locked="0" layoutInCell="1" allowOverlap="1" wp14:anchorId="3D7F1107" wp14:editId="4EBD0299">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1902754F" w14:textId="77777777" w:rsidR="00424A5A" w:rsidRPr="000C39FE" w:rsidRDefault="00424A5A">
      <w:pPr>
        <w:rPr>
          <w:rFonts w:ascii="Tahoma" w:hAnsi="Tahoma" w:cs="Tahoma"/>
          <w:sz w:val="20"/>
          <w:szCs w:val="20"/>
        </w:rPr>
      </w:pPr>
    </w:p>
    <w:p w14:paraId="0E5B1764" w14:textId="77777777" w:rsidR="00424A5A" w:rsidRPr="000C39FE" w:rsidRDefault="00424A5A" w:rsidP="00424A5A">
      <w:pPr>
        <w:rPr>
          <w:rFonts w:ascii="Tahoma" w:hAnsi="Tahoma" w:cs="Tahoma"/>
          <w:sz w:val="20"/>
          <w:szCs w:val="20"/>
        </w:rPr>
      </w:pPr>
    </w:p>
    <w:p w14:paraId="579D19F0" w14:textId="77777777" w:rsidR="00424A5A" w:rsidRPr="000C39FE" w:rsidRDefault="00424A5A" w:rsidP="00424A5A">
      <w:pPr>
        <w:rPr>
          <w:rFonts w:ascii="Tahoma" w:hAnsi="Tahoma" w:cs="Tahoma"/>
          <w:sz w:val="20"/>
          <w:szCs w:val="20"/>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5D5EA3" w:rsidRPr="000C39FE" w14:paraId="36561590" w14:textId="77777777" w:rsidTr="00830A08">
        <w:trPr>
          <w:trHeight w:val="80"/>
        </w:trPr>
        <w:tc>
          <w:tcPr>
            <w:tcW w:w="1080" w:type="dxa"/>
            <w:vAlign w:val="center"/>
          </w:tcPr>
          <w:p w14:paraId="40F8F862" w14:textId="77777777" w:rsidR="005D5EA3" w:rsidRPr="000C39FE" w:rsidRDefault="005D5EA3" w:rsidP="006B27E4">
            <w:pPr>
              <w:spacing w:before="40"/>
              <w:jc w:val="right"/>
              <w:rPr>
                <w:rFonts w:ascii="Tahoma" w:hAnsi="Tahoma" w:cs="Tahoma"/>
                <w:sz w:val="20"/>
                <w:szCs w:val="20"/>
              </w:rPr>
            </w:pPr>
            <w:r w:rsidRPr="000C39FE">
              <w:rPr>
                <w:rFonts w:ascii="Tahoma" w:hAnsi="Tahoma" w:cs="Tahoma"/>
                <w:sz w:val="20"/>
                <w:szCs w:val="20"/>
              </w:rPr>
              <w:t>Številka:</w:t>
            </w:r>
          </w:p>
        </w:tc>
        <w:tc>
          <w:tcPr>
            <w:tcW w:w="2160" w:type="dxa"/>
            <w:vAlign w:val="center"/>
          </w:tcPr>
          <w:p w14:paraId="2A5DAC88" w14:textId="5DAB40A4" w:rsidR="005D5EA3" w:rsidRPr="000C39FE" w:rsidRDefault="00D266D6" w:rsidP="006B27E4">
            <w:pPr>
              <w:spacing w:before="40"/>
              <w:rPr>
                <w:rFonts w:ascii="Tahoma" w:hAnsi="Tahoma" w:cs="Tahoma"/>
                <w:sz w:val="20"/>
                <w:szCs w:val="20"/>
                <w:highlight w:val="yellow"/>
              </w:rPr>
            </w:pPr>
            <w:r w:rsidRPr="000C39FE">
              <w:rPr>
                <w:rFonts w:ascii="Tahoma" w:hAnsi="Tahoma" w:cs="Tahoma"/>
                <w:color w:val="0000FF"/>
                <w:sz w:val="20"/>
                <w:szCs w:val="20"/>
              </w:rPr>
              <w:t>43001-</w:t>
            </w:r>
            <w:r w:rsidR="001D7802" w:rsidRPr="000C39FE">
              <w:rPr>
                <w:rFonts w:ascii="Tahoma" w:hAnsi="Tahoma" w:cs="Tahoma"/>
                <w:color w:val="0000FF"/>
                <w:sz w:val="20"/>
                <w:szCs w:val="20"/>
              </w:rPr>
              <w:t>352</w:t>
            </w:r>
            <w:r w:rsidRPr="000C39FE">
              <w:rPr>
                <w:rFonts w:ascii="Tahoma" w:hAnsi="Tahoma" w:cs="Tahoma"/>
                <w:color w:val="0000FF"/>
                <w:sz w:val="20"/>
                <w:szCs w:val="20"/>
              </w:rPr>
              <w:t>/202</w:t>
            </w:r>
            <w:r w:rsidR="001D7802" w:rsidRPr="000C39FE">
              <w:rPr>
                <w:rFonts w:ascii="Tahoma" w:hAnsi="Tahoma" w:cs="Tahoma"/>
                <w:color w:val="0000FF"/>
                <w:sz w:val="20"/>
                <w:szCs w:val="20"/>
              </w:rPr>
              <w:t>0</w:t>
            </w:r>
            <w:r w:rsidR="000C39FE" w:rsidRPr="000C39FE">
              <w:rPr>
                <w:rFonts w:ascii="Tahoma" w:hAnsi="Tahoma" w:cs="Tahoma"/>
                <w:color w:val="0000FF"/>
                <w:sz w:val="20"/>
                <w:szCs w:val="20"/>
              </w:rPr>
              <w:t>-01</w:t>
            </w:r>
          </w:p>
        </w:tc>
        <w:tc>
          <w:tcPr>
            <w:tcW w:w="1080" w:type="dxa"/>
            <w:vAlign w:val="center"/>
          </w:tcPr>
          <w:p w14:paraId="66B0AA95" w14:textId="77777777" w:rsidR="005D5EA3" w:rsidRPr="000C39FE" w:rsidRDefault="005D5EA3" w:rsidP="006B27E4">
            <w:pPr>
              <w:spacing w:before="40"/>
              <w:rPr>
                <w:rFonts w:ascii="Tahoma" w:hAnsi="Tahoma" w:cs="Tahoma"/>
                <w:sz w:val="20"/>
                <w:szCs w:val="20"/>
              </w:rPr>
            </w:pPr>
          </w:p>
        </w:tc>
        <w:tc>
          <w:tcPr>
            <w:tcW w:w="1620" w:type="dxa"/>
            <w:vAlign w:val="center"/>
          </w:tcPr>
          <w:p w14:paraId="228CF36B" w14:textId="77777777" w:rsidR="005D5EA3" w:rsidRPr="000C39FE" w:rsidRDefault="005D5EA3" w:rsidP="006B27E4">
            <w:pPr>
              <w:spacing w:before="40"/>
              <w:jc w:val="right"/>
              <w:rPr>
                <w:rFonts w:ascii="Tahoma" w:hAnsi="Tahoma" w:cs="Tahoma"/>
                <w:sz w:val="20"/>
                <w:szCs w:val="20"/>
              </w:rPr>
            </w:pPr>
            <w:r w:rsidRPr="000C39FE">
              <w:rPr>
                <w:rFonts w:ascii="Tahoma" w:hAnsi="Tahoma" w:cs="Tahoma"/>
                <w:sz w:val="20"/>
                <w:szCs w:val="20"/>
              </w:rPr>
              <w:t>oznaka naročila:</w:t>
            </w:r>
          </w:p>
        </w:tc>
        <w:tc>
          <w:tcPr>
            <w:tcW w:w="3420" w:type="dxa"/>
            <w:vAlign w:val="center"/>
          </w:tcPr>
          <w:p w14:paraId="146308D2" w14:textId="28A9A106" w:rsidR="005D5EA3" w:rsidRPr="000C39FE" w:rsidRDefault="005D5EA3" w:rsidP="006B27E4">
            <w:pPr>
              <w:spacing w:before="40"/>
              <w:rPr>
                <w:rFonts w:ascii="Tahoma" w:hAnsi="Tahoma" w:cs="Tahoma"/>
                <w:sz w:val="20"/>
                <w:szCs w:val="20"/>
              </w:rPr>
            </w:pPr>
            <w:r w:rsidRPr="000C39FE">
              <w:rPr>
                <w:rFonts w:ascii="Tahoma" w:hAnsi="Tahoma" w:cs="Tahoma"/>
                <w:color w:val="0000FF"/>
                <w:sz w:val="20"/>
                <w:szCs w:val="20"/>
              </w:rPr>
              <w:t>A-</w:t>
            </w:r>
            <w:r w:rsidR="001D7802" w:rsidRPr="000C39FE">
              <w:rPr>
                <w:rFonts w:ascii="Tahoma" w:hAnsi="Tahoma" w:cs="Tahoma"/>
                <w:color w:val="0000FF"/>
                <w:sz w:val="20"/>
                <w:szCs w:val="20"/>
              </w:rPr>
              <w:t>17/21</w:t>
            </w:r>
            <w:r w:rsidRPr="000C39FE">
              <w:rPr>
                <w:rFonts w:ascii="Tahoma" w:hAnsi="Tahoma" w:cs="Tahoma"/>
                <w:color w:val="0000FF"/>
                <w:sz w:val="20"/>
                <w:szCs w:val="20"/>
              </w:rPr>
              <w:t xml:space="preserve"> S   </w:t>
            </w:r>
          </w:p>
        </w:tc>
      </w:tr>
      <w:tr w:rsidR="005D5EA3" w:rsidRPr="000C39FE" w14:paraId="69131A09" w14:textId="77777777" w:rsidTr="005D5EA3">
        <w:tc>
          <w:tcPr>
            <w:tcW w:w="1080" w:type="dxa"/>
            <w:vAlign w:val="center"/>
          </w:tcPr>
          <w:p w14:paraId="1F8614C6" w14:textId="77777777" w:rsidR="005D5EA3" w:rsidRPr="000C39FE" w:rsidRDefault="005D5EA3" w:rsidP="006B27E4">
            <w:pPr>
              <w:spacing w:before="40"/>
              <w:jc w:val="right"/>
              <w:rPr>
                <w:rFonts w:ascii="Tahoma" w:hAnsi="Tahoma" w:cs="Tahoma"/>
                <w:sz w:val="20"/>
                <w:szCs w:val="20"/>
              </w:rPr>
            </w:pPr>
            <w:r w:rsidRPr="000C39FE">
              <w:rPr>
                <w:rFonts w:ascii="Tahoma" w:hAnsi="Tahoma" w:cs="Tahoma"/>
                <w:sz w:val="20"/>
                <w:szCs w:val="20"/>
              </w:rPr>
              <w:t>Datum:</w:t>
            </w:r>
          </w:p>
        </w:tc>
        <w:tc>
          <w:tcPr>
            <w:tcW w:w="2160" w:type="dxa"/>
            <w:vAlign w:val="center"/>
          </w:tcPr>
          <w:p w14:paraId="75D7B323" w14:textId="4F8AA8EC" w:rsidR="005D5EA3" w:rsidRPr="000C39FE" w:rsidRDefault="001D7802" w:rsidP="006B27E4">
            <w:pPr>
              <w:spacing w:before="40"/>
              <w:rPr>
                <w:rFonts w:ascii="Tahoma" w:hAnsi="Tahoma" w:cs="Tahoma"/>
                <w:sz w:val="20"/>
                <w:szCs w:val="20"/>
                <w:highlight w:val="yellow"/>
              </w:rPr>
            </w:pPr>
            <w:r w:rsidRPr="000C39FE">
              <w:rPr>
                <w:rFonts w:ascii="Tahoma" w:hAnsi="Tahoma" w:cs="Tahoma"/>
                <w:color w:val="0000FF"/>
                <w:sz w:val="20"/>
                <w:szCs w:val="20"/>
              </w:rPr>
              <w:t>15</w:t>
            </w:r>
            <w:r w:rsidR="00E85025" w:rsidRPr="000C39FE">
              <w:rPr>
                <w:rFonts w:ascii="Tahoma" w:hAnsi="Tahoma" w:cs="Tahoma"/>
                <w:color w:val="0000FF"/>
                <w:sz w:val="20"/>
                <w:szCs w:val="20"/>
              </w:rPr>
              <w:t>.02.2021</w:t>
            </w:r>
          </w:p>
        </w:tc>
        <w:tc>
          <w:tcPr>
            <w:tcW w:w="1080" w:type="dxa"/>
            <w:vAlign w:val="center"/>
          </w:tcPr>
          <w:p w14:paraId="6F00434B" w14:textId="77777777" w:rsidR="005D5EA3" w:rsidRPr="000C39FE" w:rsidRDefault="005D5EA3" w:rsidP="006B27E4">
            <w:pPr>
              <w:spacing w:before="40"/>
              <w:rPr>
                <w:rFonts w:ascii="Tahoma" w:hAnsi="Tahoma" w:cs="Tahoma"/>
                <w:sz w:val="20"/>
                <w:szCs w:val="20"/>
              </w:rPr>
            </w:pPr>
          </w:p>
        </w:tc>
        <w:tc>
          <w:tcPr>
            <w:tcW w:w="1620" w:type="dxa"/>
            <w:vAlign w:val="center"/>
          </w:tcPr>
          <w:p w14:paraId="78227E91" w14:textId="77777777" w:rsidR="005D5EA3" w:rsidRPr="000C39FE" w:rsidRDefault="005D5EA3" w:rsidP="006B27E4">
            <w:pPr>
              <w:spacing w:before="40"/>
              <w:jc w:val="right"/>
              <w:rPr>
                <w:rFonts w:ascii="Tahoma" w:hAnsi="Tahoma" w:cs="Tahoma"/>
                <w:sz w:val="20"/>
                <w:szCs w:val="20"/>
              </w:rPr>
            </w:pPr>
            <w:r w:rsidRPr="000C39FE">
              <w:rPr>
                <w:rFonts w:ascii="Tahoma" w:hAnsi="Tahoma" w:cs="Tahoma"/>
                <w:sz w:val="20"/>
                <w:szCs w:val="20"/>
              </w:rPr>
              <w:t>MFERAC:</w:t>
            </w:r>
          </w:p>
        </w:tc>
        <w:tc>
          <w:tcPr>
            <w:tcW w:w="3420" w:type="dxa"/>
            <w:vAlign w:val="center"/>
          </w:tcPr>
          <w:p w14:paraId="5E5E7749" w14:textId="633D1538" w:rsidR="005D5EA3" w:rsidRPr="000C39FE" w:rsidRDefault="005D5EA3" w:rsidP="006B27E4">
            <w:pPr>
              <w:spacing w:before="40"/>
              <w:rPr>
                <w:rFonts w:ascii="Tahoma" w:hAnsi="Tahoma" w:cs="Tahoma"/>
                <w:sz w:val="20"/>
                <w:szCs w:val="20"/>
              </w:rPr>
            </w:pPr>
            <w:r w:rsidRPr="000C39FE">
              <w:rPr>
                <w:rFonts w:ascii="Tahoma" w:hAnsi="Tahoma" w:cs="Tahoma"/>
                <w:color w:val="0000FF"/>
                <w:sz w:val="20"/>
                <w:szCs w:val="20"/>
              </w:rPr>
              <w:t>2431-2</w:t>
            </w:r>
            <w:r w:rsidR="001D7802" w:rsidRPr="000C39FE">
              <w:rPr>
                <w:rFonts w:ascii="Tahoma" w:hAnsi="Tahoma" w:cs="Tahoma"/>
                <w:color w:val="0000FF"/>
                <w:sz w:val="20"/>
                <w:szCs w:val="20"/>
              </w:rPr>
              <w:t>0</w:t>
            </w:r>
            <w:r w:rsidR="00A6389C" w:rsidRPr="000C39FE">
              <w:rPr>
                <w:rFonts w:ascii="Tahoma" w:hAnsi="Tahoma" w:cs="Tahoma"/>
                <w:color w:val="0000FF"/>
                <w:sz w:val="20"/>
                <w:szCs w:val="20"/>
              </w:rPr>
              <w:t>-</w:t>
            </w:r>
            <w:r w:rsidR="001D7802" w:rsidRPr="000C39FE">
              <w:rPr>
                <w:rFonts w:ascii="Tahoma" w:hAnsi="Tahoma" w:cs="Tahoma"/>
                <w:color w:val="0000FF"/>
                <w:sz w:val="20"/>
                <w:szCs w:val="20"/>
              </w:rPr>
              <w:t>401261</w:t>
            </w:r>
            <w:r w:rsidRPr="000C39FE">
              <w:rPr>
                <w:rFonts w:ascii="Tahoma" w:hAnsi="Tahoma" w:cs="Tahoma"/>
                <w:color w:val="0000FF"/>
                <w:sz w:val="20"/>
                <w:szCs w:val="20"/>
              </w:rPr>
              <w:t>/0</w:t>
            </w:r>
          </w:p>
        </w:tc>
      </w:tr>
    </w:tbl>
    <w:p w14:paraId="1CDAC867" w14:textId="77777777" w:rsidR="00424A5A" w:rsidRPr="000C39FE" w:rsidRDefault="00424A5A" w:rsidP="00424A5A">
      <w:pPr>
        <w:pStyle w:val="BodyText2"/>
        <w:ind w:left="-181" w:right="-210"/>
        <w:rPr>
          <w:rFonts w:ascii="Tahoma" w:hAnsi="Tahoma" w:cs="Tahoma"/>
          <w:szCs w:val="20"/>
        </w:rPr>
      </w:pPr>
    </w:p>
    <w:p w14:paraId="1046D7EF" w14:textId="77777777" w:rsidR="00424A5A" w:rsidRPr="000C39FE" w:rsidRDefault="00424A5A">
      <w:pPr>
        <w:rPr>
          <w:rFonts w:ascii="Tahoma" w:hAnsi="Tahoma" w:cs="Tahoma"/>
          <w:sz w:val="20"/>
          <w:szCs w:val="20"/>
        </w:rPr>
      </w:pPr>
    </w:p>
    <w:p w14:paraId="2EEBE4A7" w14:textId="3296DFFE" w:rsidR="00556816" w:rsidRPr="000C39FE" w:rsidRDefault="00556816" w:rsidP="008E46D1">
      <w:pPr>
        <w:pStyle w:val="EndnoteText"/>
        <w:spacing w:before="240"/>
        <w:jc w:val="center"/>
        <w:rPr>
          <w:rFonts w:ascii="Tahoma" w:hAnsi="Tahoma" w:cs="Tahoma"/>
          <w:b/>
          <w:spacing w:val="20"/>
          <w:szCs w:val="20"/>
        </w:rPr>
      </w:pPr>
      <w:r w:rsidRPr="000C39FE">
        <w:rPr>
          <w:rFonts w:ascii="Tahoma" w:hAnsi="Tahoma" w:cs="Tahoma"/>
          <w:b/>
          <w:spacing w:val="20"/>
          <w:szCs w:val="20"/>
        </w:rPr>
        <w:t>SPREMEMBA RAZPISNE DOKUMENTACIJE</w:t>
      </w:r>
    </w:p>
    <w:p w14:paraId="2AAF9D5B" w14:textId="77777777" w:rsidR="00556816" w:rsidRPr="000C39FE" w:rsidRDefault="00556816">
      <w:pPr>
        <w:pStyle w:val="EndnoteText"/>
        <w:jc w:val="center"/>
        <w:rPr>
          <w:rFonts w:ascii="Tahoma" w:hAnsi="Tahoma" w:cs="Tahoma"/>
          <w:b/>
          <w:spacing w:val="20"/>
          <w:szCs w:val="20"/>
        </w:rPr>
      </w:pPr>
      <w:r w:rsidRPr="000C39FE">
        <w:rPr>
          <w:rFonts w:ascii="Tahoma" w:hAnsi="Tahoma" w:cs="Tahoma"/>
          <w:b/>
          <w:spacing w:val="20"/>
          <w:szCs w:val="20"/>
        </w:rPr>
        <w:t xml:space="preserve">za oddajo javnega naročila </w:t>
      </w:r>
    </w:p>
    <w:p w14:paraId="2E3478DD" w14:textId="77777777" w:rsidR="00556816" w:rsidRPr="000C39FE" w:rsidRDefault="00556816">
      <w:pPr>
        <w:pStyle w:val="EndnoteText"/>
        <w:rPr>
          <w:rFonts w:ascii="Tahoma" w:hAnsi="Tahoma" w:cs="Tahoma"/>
          <w:szCs w:val="20"/>
        </w:rPr>
      </w:pPr>
    </w:p>
    <w:p w14:paraId="54AA837C" w14:textId="4D7A5ECA" w:rsidR="004B34B5" w:rsidRPr="000C39FE" w:rsidRDefault="001D7802" w:rsidP="001D7802">
      <w:pPr>
        <w:pStyle w:val="EndnoteText"/>
        <w:jc w:val="center"/>
        <w:rPr>
          <w:rFonts w:ascii="Tahoma" w:hAnsi="Tahoma" w:cs="Tahoma"/>
          <w:szCs w:val="20"/>
        </w:rPr>
      </w:pPr>
      <w:r w:rsidRPr="000C39FE">
        <w:rPr>
          <w:rFonts w:ascii="Tahoma" w:hAnsi="Tahoma" w:cs="Tahoma"/>
          <w:b/>
          <w:szCs w:val="20"/>
        </w:rPr>
        <w:t>IZVAJANJE KONZULTANTSKIH STORITEV PRI REALIZACIJI INVESTICIJ NA DRŽAVNIH CESTAH ZA ČASOVNO OBDOBJE 2021-2026</w:t>
      </w:r>
    </w:p>
    <w:p w14:paraId="3890B277" w14:textId="77777777" w:rsidR="008C092A" w:rsidRPr="000C39FE" w:rsidRDefault="008C092A" w:rsidP="000646A9">
      <w:pPr>
        <w:pStyle w:val="EndnoteText"/>
        <w:jc w:val="both"/>
        <w:rPr>
          <w:rFonts w:ascii="Tahoma" w:hAnsi="Tahoma" w:cs="Tahoma"/>
          <w:szCs w:val="20"/>
        </w:rPr>
      </w:pPr>
    </w:p>
    <w:p w14:paraId="107BDC83" w14:textId="67BAF5D0" w:rsidR="00D266D6" w:rsidRPr="000C39FE" w:rsidRDefault="00E85025" w:rsidP="00D266D6">
      <w:pPr>
        <w:spacing w:before="128" w:after="128"/>
        <w:outlineLvl w:val="3"/>
        <w:rPr>
          <w:rFonts w:ascii="Tahoma" w:hAnsi="Tahoma" w:cs="Tahoma"/>
          <w:b/>
          <w:color w:val="333333"/>
          <w:sz w:val="20"/>
          <w:szCs w:val="20"/>
          <w:lang w:eastAsia="sl-SI"/>
        </w:rPr>
      </w:pPr>
      <w:r w:rsidRPr="000C39FE">
        <w:rPr>
          <w:rFonts w:ascii="Tahoma" w:hAnsi="Tahoma" w:cs="Tahoma"/>
          <w:b/>
          <w:color w:val="333333"/>
          <w:sz w:val="20"/>
          <w:szCs w:val="20"/>
          <w:lang w:eastAsia="sl-SI"/>
        </w:rPr>
        <w:t>JN000</w:t>
      </w:r>
      <w:r w:rsidR="001D7802" w:rsidRPr="000C39FE">
        <w:rPr>
          <w:rFonts w:ascii="Tahoma" w:hAnsi="Tahoma" w:cs="Tahoma"/>
          <w:b/>
          <w:color w:val="333333"/>
          <w:sz w:val="20"/>
          <w:szCs w:val="20"/>
          <w:lang w:eastAsia="sl-SI"/>
        </w:rPr>
        <w:t>459</w:t>
      </w:r>
      <w:r w:rsidRPr="000C39FE">
        <w:rPr>
          <w:rFonts w:ascii="Tahoma" w:hAnsi="Tahoma" w:cs="Tahoma"/>
          <w:b/>
          <w:color w:val="333333"/>
          <w:sz w:val="20"/>
          <w:szCs w:val="20"/>
          <w:lang w:eastAsia="sl-SI"/>
        </w:rPr>
        <w:t>/2021-B01</w:t>
      </w:r>
      <w:r w:rsidR="00D266D6" w:rsidRPr="000C39FE">
        <w:rPr>
          <w:rFonts w:ascii="Tahoma" w:hAnsi="Tahoma" w:cs="Tahoma"/>
          <w:b/>
          <w:color w:val="333333"/>
          <w:sz w:val="20"/>
          <w:szCs w:val="20"/>
          <w:lang w:eastAsia="sl-SI"/>
        </w:rPr>
        <w:t xml:space="preserve">; datum objave: </w:t>
      </w:r>
      <w:r w:rsidR="001D7802" w:rsidRPr="000C39FE">
        <w:rPr>
          <w:rFonts w:ascii="Tahoma" w:hAnsi="Tahoma" w:cs="Tahoma"/>
          <w:b/>
          <w:color w:val="333333"/>
          <w:sz w:val="20"/>
          <w:szCs w:val="20"/>
          <w:lang w:eastAsia="sl-SI"/>
        </w:rPr>
        <w:t>28.01.2021</w:t>
      </w:r>
      <w:r w:rsidR="00D266D6" w:rsidRPr="000C39FE">
        <w:rPr>
          <w:rFonts w:ascii="Tahoma" w:hAnsi="Tahoma" w:cs="Tahoma"/>
          <w:b/>
          <w:color w:val="333333"/>
          <w:sz w:val="20"/>
          <w:szCs w:val="20"/>
          <w:lang w:eastAsia="sl-SI"/>
        </w:rPr>
        <w:t xml:space="preserve">   </w:t>
      </w:r>
    </w:p>
    <w:p w14:paraId="0AF05ED9" w14:textId="77777777" w:rsidR="008C092A" w:rsidRPr="000C39FE" w:rsidRDefault="008C092A" w:rsidP="000646A9">
      <w:pPr>
        <w:pStyle w:val="EndnoteText"/>
        <w:jc w:val="both"/>
        <w:rPr>
          <w:rFonts w:ascii="Tahoma" w:hAnsi="Tahoma" w:cs="Tahoma"/>
          <w:szCs w:val="20"/>
        </w:rPr>
      </w:pPr>
    </w:p>
    <w:p w14:paraId="2C8305D0" w14:textId="221B4344" w:rsidR="000646A9" w:rsidRPr="000C39FE" w:rsidRDefault="000646A9" w:rsidP="000646A9">
      <w:pPr>
        <w:pStyle w:val="EndnoteText"/>
        <w:jc w:val="both"/>
        <w:rPr>
          <w:rFonts w:ascii="Tahoma" w:hAnsi="Tahoma" w:cs="Tahoma"/>
          <w:szCs w:val="20"/>
        </w:rPr>
      </w:pPr>
      <w:r w:rsidRPr="000C39FE">
        <w:rPr>
          <w:rFonts w:ascii="Tahoma" w:hAnsi="Tahoma" w:cs="Tahoma"/>
          <w:szCs w:val="20"/>
        </w:rPr>
        <w:t xml:space="preserve">Obvestilo o spremembi razpisne dokumentacije je objavljeno na "Portalu javnih naročil" in na naročnikovi spletni strani. </w:t>
      </w:r>
      <w:r w:rsidR="00704884" w:rsidRPr="000C39FE">
        <w:rPr>
          <w:rFonts w:ascii="Tahoma" w:hAnsi="Tahoma" w:cs="Tahoma"/>
          <w:szCs w:val="20"/>
        </w:rPr>
        <w:t>N</w:t>
      </w:r>
      <w:r w:rsidRPr="000C39FE">
        <w:rPr>
          <w:rFonts w:ascii="Tahoma" w:hAnsi="Tahoma" w:cs="Tahoma"/>
          <w:szCs w:val="20"/>
        </w:rPr>
        <w:t>a naročnikovi spletni strani</w:t>
      </w:r>
      <w:r w:rsidR="00704884" w:rsidRPr="000C39FE">
        <w:rPr>
          <w:rFonts w:ascii="Tahoma" w:hAnsi="Tahoma" w:cs="Tahoma"/>
          <w:szCs w:val="20"/>
        </w:rPr>
        <w:t xml:space="preserve"> je</w:t>
      </w:r>
      <w:r w:rsidRPr="000C39FE">
        <w:rPr>
          <w:rFonts w:ascii="Tahoma" w:hAnsi="Tahoma" w:cs="Tahoma"/>
          <w:szCs w:val="20"/>
        </w:rPr>
        <w:t xml:space="preserve"> priložen čistopis spremenjenega dokumenta. </w:t>
      </w:r>
    </w:p>
    <w:p w14:paraId="69235936" w14:textId="77777777" w:rsidR="00704884" w:rsidRPr="000C39FE" w:rsidRDefault="00704884" w:rsidP="000646A9">
      <w:pPr>
        <w:pStyle w:val="EndnoteText"/>
        <w:spacing w:after="60"/>
        <w:jc w:val="both"/>
        <w:rPr>
          <w:rFonts w:ascii="Tahoma" w:hAnsi="Tahoma" w:cs="Tahoma"/>
          <w:szCs w:val="20"/>
        </w:rPr>
      </w:pPr>
    </w:p>
    <w:p w14:paraId="0C2260D6" w14:textId="30256DC1" w:rsidR="00556816" w:rsidRPr="000C39FE" w:rsidRDefault="004B34B5" w:rsidP="000646A9">
      <w:pPr>
        <w:pStyle w:val="EndnoteText"/>
        <w:spacing w:after="60"/>
        <w:jc w:val="both"/>
        <w:rPr>
          <w:rFonts w:ascii="Tahoma" w:hAnsi="Tahoma" w:cs="Tahoma"/>
          <w:szCs w:val="20"/>
        </w:rPr>
      </w:pPr>
      <w:r w:rsidRPr="000C39FE">
        <w:rPr>
          <w:rFonts w:ascii="Tahoma" w:hAnsi="Tahoma" w:cs="Tahoma"/>
          <w:szCs w:val="20"/>
        </w:rPr>
        <w:t>Obrazložitev sprememb:</w:t>
      </w:r>
    </w:p>
    <w:p w14:paraId="26F060AD" w14:textId="77777777" w:rsidR="00A6389C" w:rsidRPr="000C39FE" w:rsidRDefault="00A6389C" w:rsidP="000646A9">
      <w:pPr>
        <w:pStyle w:val="EndnoteText"/>
        <w:spacing w:after="60"/>
        <w:jc w:val="both"/>
        <w:rPr>
          <w:rFonts w:ascii="Tahoma" w:hAnsi="Tahoma" w:cs="Tahoma"/>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7"/>
      </w:tblGrid>
      <w:tr w:rsidR="00BA3B3A" w:rsidRPr="000C39FE" w14:paraId="48DC6F6A" w14:textId="77777777" w:rsidTr="001D7802">
        <w:trPr>
          <w:trHeight w:val="1046"/>
        </w:trPr>
        <w:tc>
          <w:tcPr>
            <w:tcW w:w="9287" w:type="dxa"/>
          </w:tcPr>
          <w:p w14:paraId="36682B01" w14:textId="77777777" w:rsidR="00BA3B3A" w:rsidRPr="000C39FE" w:rsidRDefault="00BA3B3A" w:rsidP="00BA3B3A">
            <w:pPr>
              <w:ind w:left="306"/>
              <w:jc w:val="both"/>
              <w:rPr>
                <w:rFonts w:ascii="Tahoma" w:hAnsi="Tahoma" w:cs="Tahoma"/>
                <w:i/>
                <w:iCs/>
                <w:sz w:val="20"/>
                <w:szCs w:val="20"/>
              </w:rPr>
            </w:pPr>
          </w:p>
          <w:p w14:paraId="17A89AF7" w14:textId="36E3D885" w:rsidR="00A6389C" w:rsidRPr="000C39FE" w:rsidRDefault="00496302" w:rsidP="00F7180C">
            <w:pPr>
              <w:pStyle w:val="NormalWeb"/>
              <w:numPr>
                <w:ilvl w:val="0"/>
                <w:numId w:val="31"/>
              </w:numPr>
              <w:spacing w:after="0"/>
              <w:jc w:val="both"/>
              <w:rPr>
                <w:rFonts w:ascii="Tahoma" w:hAnsi="Tahoma" w:cs="Tahoma"/>
                <w:color w:val="auto"/>
                <w:sz w:val="20"/>
                <w:szCs w:val="20"/>
              </w:rPr>
            </w:pPr>
            <w:r w:rsidRPr="000C39FE">
              <w:rPr>
                <w:rFonts w:ascii="Tahoma" w:hAnsi="Tahoma" w:cs="Tahoma"/>
                <w:color w:val="auto"/>
                <w:sz w:val="20"/>
                <w:szCs w:val="20"/>
              </w:rPr>
              <w:t>V Navodilih za pripravo ponudbe se</w:t>
            </w:r>
            <w:r w:rsidR="00E458E9" w:rsidRPr="000C39FE">
              <w:rPr>
                <w:rFonts w:ascii="Tahoma" w:hAnsi="Tahoma" w:cs="Tahoma"/>
                <w:color w:val="auto"/>
                <w:sz w:val="20"/>
                <w:szCs w:val="20"/>
              </w:rPr>
              <w:t xml:space="preserve"> </w:t>
            </w:r>
            <w:r w:rsidR="00CA6781" w:rsidRPr="000C39FE">
              <w:rPr>
                <w:rFonts w:ascii="Tahoma" w:hAnsi="Tahoma" w:cs="Tahoma"/>
                <w:color w:val="auto"/>
                <w:sz w:val="20"/>
                <w:szCs w:val="20"/>
              </w:rPr>
              <w:t>v</w:t>
            </w:r>
            <w:r w:rsidR="00A6389C" w:rsidRPr="000C39FE">
              <w:rPr>
                <w:rFonts w:ascii="Tahoma" w:hAnsi="Tahoma" w:cs="Tahoma"/>
                <w:color w:val="auto"/>
                <w:sz w:val="20"/>
                <w:szCs w:val="20"/>
              </w:rPr>
              <w:t xml:space="preserve"> točki </w:t>
            </w:r>
            <w:r w:rsidR="00F7180C" w:rsidRPr="000C39FE">
              <w:rPr>
                <w:rFonts w:ascii="Tahoma" w:hAnsi="Tahoma" w:cs="Tahoma"/>
                <w:color w:val="auto"/>
                <w:sz w:val="20"/>
                <w:szCs w:val="20"/>
              </w:rPr>
              <w:t>3.2.3.2.2 projektna skupina za »PROJEKT EU« poveča za enega strokovnjaka in se sedaj</w:t>
            </w:r>
            <w:r w:rsidR="00A6389C" w:rsidRPr="000C39FE">
              <w:rPr>
                <w:rFonts w:ascii="Tahoma" w:hAnsi="Tahoma" w:cs="Tahoma"/>
                <w:color w:val="auto"/>
                <w:sz w:val="20"/>
                <w:szCs w:val="20"/>
              </w:rPr>
              <w:t xml:space="preserve"> pravilno glasi:</w:t>
            </w:r>
          </w:p>
          <w:p w14:paraId="4FAC1013" w14:textId="6EE159DD" w:rsidR="00A6389C" w:rsidRPr="000C39FE" w:rsidRDefault="00A6389C" w:rsidP="00A6389C">
            <w:pPr>
              <w:pStyle w:val="NormalWeb"/>
              <w:spacing w:after="0"/>
              <w:ind w:left="306"/>
              <w:jc w:val="both"/>
              <w:rPr>
                <w:rFonts w:ascii="Tahoma" w:hAnsi="Tahoma" w:cs="Tahoma"/>
                <w:color w:val="auto"/>
                <w:sz w:val="20"/>
                <w:szCs w:val="20"/>
              </w:rPr>
            </w:pPr>
          </w:p>
          <w:p w14:paraId="2C8B96CC" w14:textId="77777777" w:rsidR="00F7180C" w:rsidRPr="000C39FE" w:rsidRDefault="00F7180C" w:rsidP="00F7180C">
            <w:pPr>
              <w:pStyle w:val="BodyText2"/>
              <w:tabs>
                <w:tab w:val="left" w:pos="1276"/>
              </w:tabs>
              <w:spacing w:before="60"/>
              <w:ind w:left="1276" w:hanging="850"/>
              <w:rPr>
                <w:rFonts w:ascii="Tahoma" w:hAnsi="Tahoma" w:cs="Tahoma"/>
                <w:bCs/>
                <w:szCs w:val="20"/>
              </w:rPr>
            </w:pPr>
            <w:bookmarkStart w:id="0" w:name="_Hlk58796426"/>
            <w:r w:rsidRPr="000C39FE">
              <w:rPr>
                <w:rFonts w:ascii="Tahoma" w:hAnsi="Tahoma" w:cs="Tahoma"/>
                <w:bCs/>
                <w:szCs w:val="20"/>
              </w:rPr>
              <w:t xml:space="preserve">Za sklop »Projekt EU« mora ponudnik zagotoviti projektno skupino, sestavljeno iz spodaj navedenih </w:t>
            </w:r>
            <w:r w:rsidRPr="000C39FE">
              <w:rPr>
                <w:rFonts w:ascii="Tahoma" w:hAnsi="Tahoma" w:cs="Tahoma"/>
                <w:bCs/>
                <w:color w:val="FF0000"/>
                <w:szCs w:val="20"/>
              </w:rPr>
              <w:t>osmih (8)</w:t>
            </w:r>
            <w:r w:rsidRPr="000C39FE">
              <w:rPr>
                <w:rFonts w:ascii="Tahoma" w:hAnsi="Tahoma" w:cs="Tahoma"/>
                <w:bCs/>
                <w:szCs w:val="20"/>
              </w:rPr>
              <w:t xml:space="preserve"> strokovnjakov: </w:t>
            </w:r>
          </w:p>
          <w:p w14:paraId="0224ED8D"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sz w:val="20"/>
                <w:szCs w:val="20"/>
              </w:rPr>
            </w:pPr>
            <w:r w:rsidRPr="000C39FE">
              <w:rPr>
                <w:rFonts w:ascii="Tahoma" w:hAnsi="Tahoma" w:cs="Tahoma"/>
                <w:sz w:val="20"/>
                <w:szCs w:val="20"/>
              </w:rPr>
              <w:t xml:space="preserve">en (1) strokovnjak “vodja projektne skupine “(oznaka funkcije: S-01), </w:t>
            </w:r>
          </w:p>
          <w:p w14:paraId="5DB9DABD"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sz w:val="20"/>
                <w:szCs w:val="20"/>
              </w:rPr>
            </w:pPr>
            <w:r w:rsidRPr="000C39FE">
              <w:rPr>
                <w:rFonts w:ascii="Tahoma" w:hAnsi="Tahoma" w:cs="Tahoma"/>
                <w:sz w:val="20"/>
                <w:szCs w:val="20"/>
              </w:rPr>
              <w:t>en (1) strokovnjak za gradnjo in projektno dokumentacijo (oznaka funkcije S-02),</w:t>
            </w:r>
          </w:p>
          <w:p w14:paraId="3E097E6C"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color w:val="FF0000"/>
                <w:sz w:val="20"/>
                <w:szCs w:val="20"/>
              </w:rPr>
            </w:pPr>
            <w:r w:rsidRPr="000C39FE">
              <w:rPr>
                <w:rFonts w:ascii="Tahoma" w:hAnsi="Tahoma" w:cs="Tahoma"/>
                <w:color w:val="FF0000"/>
                <w:sz w:val="20"/>
                <w:szCs w:val="20"/>
              </w:rPr>
              <w:t>en (1) strokovnjak za gradnjo in projektno dokumentacijo (oznaka funkcije S-03),</w:t>
            </w:r>
          </w:p>
          <w:p w14:paraId="0D43C616"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sz w:val="20"/>
                <w:szCs w:val="20"/>
              </w:rPr>
            </w:pPr>
            <w:r w:rsidRPr="000C39FE">
              <w:rPr>
                <w:rFonts w:ascii="Tahoma" w:hAnsi="Tahoma" w:cs="Tahoma"/>
                <w:sz w:val="20"/>
                <w:szCs w:val="20"/>
              </w:rPr>
              <w:t>en (1) strokovnjak za javna naročila (oznaka funkcije S-05),</w:t>
            </w:r>
          </w:p>
          <w:p w14:paraId="7C12ED17"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sz w:val="20"/>
                <w:szCs w:val="20"/>
              </w:rPr>
            </w:pPr>
            <w:r w:rsidRPr="000C39FE">
              <w:rPr>
                <w:rFonts w:ascii="Tahoma" w:hAnsi="Tahoma" w:cs="Tahoma"/>
                <w:sz w:val="20"/>
                <w:szCs w:val="20"/>
              </w:rPr>
              <w:t xml:space="preserve">en (1) strokovnjak za geodezijo (oznaka funkcije S-06),  </w:t>
            </w:r>
          </w:p>
          <w:p w14:paraId="7D1E86E9"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sz w:val="20"/>
                <w:szCs w:val="20"/>
              </w:rPr>
            </w:pPr>
            <w:r w:rsidRPr="000C39FE">
              <w:rPr>
                <w:rFonts w:ascii="Tahoma" w:hAnsi="Tahoma" w:cs="Tahoma"/>
                <w:sz w:val="20"/>
                <w:szCs w:val="20"/>
              </w:rPr>
              <w:t>en (1) strokovnjak za investicijsko dokumentacijo (oznaka funkcije S-09),</w:t>
            </w:r>
          </w:p>
          <w:p w14:paraId="172A86B8"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sz w:val="20"/>
                <w:szCs w:val="20"/>
              </w:rPr>
            </w:pPr>
            <w:r w:rsidRPr="000C39FE">
              <w:rPr>
                <w:rFonts w:ascii="Tahoma" w:hAnsi="Tahoma" w:cs="Tahoma"/>
                <w:sz w:val="20"/>
                <w:szCs w:val="20"/>
              </w:rPr>
              <w:t>en (1) strokovnjak premoženjsko pravne zadeve (oznaka funkcije S-10) in</w:t>
            </w:r>
          </w:p>
          <w:p w14:paraId="557EEDE0" w14:textId="77777777" w:rsidR="00F7180C" w:rsidRPr="000C39FE" w:rsidRDefault="00F7180C" w:rsidP="00F7180C">
            <w:pPr>
              <w:pStyle w:val="ListParagraph"/>
              <w:numPr>
                <w:ilvl w:val="1"/>
                <w:numId w:val="32"/>
              </w:numPr>
              <w:tabs>
                <w:tab w:val="left" w:pos="1560"/>
              </w:tabs>
              <w:spacing w:before="60"/>
              <w:ind w:left="1560" w:hanging="284"/>
              <w:jc w:val="both"/>
              <w:rPr>
                <w:rFonts w:ascii="Tahoma" w:hAnsi="Tahoma" w:cs="Tahoma"/>
                <w:sz w:val="20"/>
                <w:szCs w:val="20"/>
              </w:rPr>
            </w:pPr>
            <w:r w:rsidRPr="000C39FE">
              <w:rPr>
                <w:rFonts w:ascii="Tahoma" w:hAnsi="Tahoma" w:cs="Tahoma"/>
                <w:sz w:val="20"/>
                <w:szCs w:val="20"/>
              </w:rPr>
              <w:t>en (1) strokovnjak za prometno varnost (oznaka funkcije S-11).</w:t>
            </w:r>
          </w:p>
          <w:bookmarkEnd w:id="0"/>
          <w:p w14:paraId="7CDC465A" w14:textId="1E9B868F" w:rsidR="001D7802" w:rsidRPr="000C39FE" w:rsidRDefault="001D7802" w:rsidP="001D7802">
            <w:pPr>
              <w:pStyle w:val="NormalWeb"/>
              <w:spacing w:after="0"/>
              <w:ind w:left="306"/>
              <w:jc w:val="both"/>
              <w:rPr>
                <w:rFonts w:ascii="Tahoma" w:hAnsi="Tahoma" w:cs="Tahoma"/>
                <w:color w:val="auto"/>
                <w:sz w:val="20"/>
                <w:szCs w:val="20"/>
              </w:rPr>
            </w:pPr>
          </w:p>
          <w:p w14:paraId="4F85E29B" w14:textId="2F7CC8DF" w:rsidR="00F7180C" w:rsidRPr="000C39FE" w:rsidRDefault="00F7180C" w:rsidP="00970C7F">
            <w:pPr>
              <w:pStyle w:val="NormalWeb"/>
              <w:numPr>
                <w:ilvl w:val="0"/>
                <w:numId w:val="31"/>
              </w:numPr>
              <w:spacing w:after="0"/>
              <w:ind w:left="306"/>
              <w:jc w:val="both"/>
              <w:rPr>
                <w:rFonts w:ascii="Tahoma" w:hAnsi="Tahoma" w:cs="Tahoma"/>
                <w:color w:val="auto"/>
                <w:sz w:val="20"/>
                <w:szCs w:val="20"/>
              </w:rPr>
            </w:pPr>
            <w:r w:rsidRPr="000C39FE">
              <w:rPr>
                <w:rFonts w:ascii="Tahoma" w:hAnsi="Tahoma" w:cs="Tahoma"/>
                <w:color w:val="auto"/>
                <w:sz w:val="20"/>
                <w:szCs w:val="20"/>
              </w:rPr>
              <w:t xml:space="preserve">V Navodilih za pripravo ponudbe točka 3.3. Merila za oddajo javnega naročila za sklop »Projekt EU« spremenijo tako, da se prizna Dodatne reference tudi za ključnega strokovnjaka S-03 in prav tako njegovo znanje s področja BIM. </w:t>
            </w:r>
          </w:p>
          <w:p w14:paraId="5748CADE" w14:textId="77777777" w:rsidR="00F7180C" w:rsidRPr="000C39FE" w:rsidRDefault="00F7180C" w:rsidP="001D7802">
            <w:pPr>
              <w:pStyle w:val="NormalWeb"/>
              <w:spacing w:after="0"/>
              <w:ind w:left="306"/>
              <w:jc w:val="both"/>
              <w:rPr>
                <w:rFonts w:ascii="Tahoma" w:hAnsi="Tahoma" w:cs="Tahoma"/>
                <w:color w:val="auto"/>
                <w:sz w:val="20"/>
                <w:szCs w:val="20"/>
              </w:rPr>
            </w:pPr>
          </w:p>
          <w:p w14:paraId="76882FDC" w14:textId="11B2365D" w:rsidR="00CF671D" w:rsidRPr="000C39FE" w:rsidRDefault="001D7802" w:rsidP="001D7802">
            <w:pPr>
              <w:pStyle w:val="NormalWeb"/>
              <w:numPr>
                <w:ilvl w:val="0"/>
                <w:numId w:val="31"/>
              </w:numPr>
              <w:spacing w:after="0"/>
              <w:jc w:val="both"/>
              <w:rPr>
                <w:rFonts w:ascii="Tahoma" w:hAnsi="Tahoma" w:cs="Tahoma"/>
                <w:color w:val="auto"/>
                <w:sz w:val="20"/>
                <w:szCs w:val="20"/>
              </w:rPr>
            </w:pPr>
            <w:r w:rsidRPr="000C39FE">
              <w:rPr>
                <w:rFonts w:ascii="Tahoma" w:hAnsi="Tahoma" w:cs="Tahoma"/>
                <w:color w:val="auto"/>
                <w:sz w:val="20"/>
                <w:szCs w:val="20"/>
              </w:rPr>
              <w:t xml:space="preserve">Priloga 2 – Obseg </w:t>
            </w:r>
            <w:proofErr w:type="spellStart"/>
            <w:r w:rsidRPr="000C39FE">
              <w:rPr>
                <w:rFonts w:ascii="Tahoma" w:hAnsi="Tahoma" w:cs="Tahoma"/>
                <w:color w:val="auto"/>
                <w:sz w:val="20"/>
                <w:szCs w:val="20"/>
              </w:rPr>
              <w:t>konzultantskih</w:t>
            </w:r>
            <w:proofErr w:type="spellEnd"/>
            <w:r w:rsidRPr="000C39FE">
              <w:rPr>
                <w:rFonts w:ascii="Tahoma" w:hAnsi="Tahoma" w:cs="Tahoma"/>
                <w:color w:val="auto"/>
                <w:sz w:val="20"/>
                <w:szCs w:val="20"/>
              </w:rPr>
              <w:t xml:space="preserve"> storitev-2021-2026 (</w:t>
            </w:r>
            <w:proofErr w:type="spellStart"/>
            <w:r w:rsidRPr="000C39FE">
              <w:rPr>
                <w:rFonts w:ascii="Tahoma" w:hAnsi="Tahoma" w:cs="Tahoma"/>
                <w:color w:val="auto"/>
                <w:sz w:val="20"/>
                <w:szCs w:val="20"/>
              </w:rPr>
              <w:t>excel</w:t>
            </w:r>
            <w:proofErr w:type="spellEnd"/>
            <w:r w:rsidRPr="000C39FE">
              <w:rPr>
                <w:rFonts w:ascii="Tahoma" w:hAnsi="Tahoma" w:cs="Tahoma"/>
                <w:color w:val="auto"/>
                <w:sz w:val="20"/>
                <w:szCs w:val="20"/>
              </w:rPr>
              <w:t xml:space="preserve"> </w:t>
            </w:r>
            <w:proofErr w:type="spellStart"/>
            <w:r w:rsidRPr="000C39FE">
              <w:rPr>
                <w:rFonts w:ascii="Tahoma" w:hAnsi="Tahoma" w:cs="Tahoma"/>
                <w:color w:val="auto"/>
                <w:sz w:val="20"/>
                <w:szCs w:val="20"/>
              </w:rPr>
              <w:t>datototeka</w:t>
            </w:r>
            <w:proofErr w:type="spellEnd"/>
            <w:r w:rsidRPr="000C39FE">
              <w:rPr>
                <w:rFonts w:ascii="Tahoma" w:hAnsi="Tahoma" w:cs="Tahoma"/>
                <w:color w:val="auto"/>
                <w:sz w:val="20"/>
                <w:szCs w:val="20"/>
              </w:rPr>
              <w:t>), zavihek »PROJEKT EU« se spremeni tako, da se v Tabeli 1: Seznam investicijskih projektov »PROJEKT EU« poveča število nerazporejenih ur za 7.230 h in se sedaj skupna količina nerazporejenih ur 22.480 h oz. po letih:</w:t>
            </w:r>
          </w:p>
          <w:p w14:paraId="7D07BB4D" w14:textId="77777777" w:rsidR="001D7802" w:rsidRPr="000C39FE" w:rsidRDefault="001D7802" w:rsidP="00CF671D">
            <w:pPr>
              <w:pStyle w:val="NormalWeb"/>
              <w:spacing w:after="0"/>
              <w:ind w:left="306"/>
              <w:jc w:val="both"/>
              <w:rPr>
                <w:rFonts w:ascii="Tahoma" w:hAnsi="Tahoma" w:cs="Tahoma"/>
                <w:color w:val="auto"/>
                <w:sz w:val="20"/>
                <w:szCs w:val="20"/>
              </w:rPr>
            </w:pPr>
          </w:p>
          <w:p w14:paraId="4FDD440B" w14:textId="7A4CFA0F" w:rsidR="00CF671D" w:rsidRPr="000C39FE" w:rsidRDefault="001D7802" w:rsidP="00CF671D">
            <w:pPr>
              <w:pStyle w:val="NormalWeb"/>
              <w:spacing w:after="0"/>
              <w:ind w:left="360"/>
              <w:jc w:val="both"/>
              <w:rPr>
                <w:rFonts w:ascii="Tahoma" w:hAnsi="Tahoma" w:cs="Tahoma"/>
                <w:color w:val="auto"/>
                <w:sz w:val="20"/>
                <w:szCs w:val="20"/>
              </w:rPr>
            </w:pPr>
            <w:r w:rsidRPr="000C39FE">
              <w:rPr>
                <w:rFonts w:ascii="Tahoma" w:hAnsi="Tahoma" w:cs="Tahoma"/>
                <w:noProof/>
                <w:sz w:val="20"/>
                <w:szCs w:val="20"/>
              </w:rPr>
              <w:drawing>
                <wp:inline distT="0" distB="0" distL="0" distR="0" wp14:anchorId="76220E0D" wp14:editId="13820BA0">
                  <wp:extent cx="5760085" cy="4489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448945"/>
                          </a:xfrm>
                          <a:prstGeom prst="rect">
                            <a:avLst/>
                          </a:prstGeom>
                        </pic:spPr>
                      </pic:pic>
                    </a:graphicData>
                  </a:graphic>
                </wp:inline>
              </w:drawing>
            </w:r>
          </w:p>
          <w:p w14:paraId="2E002205" w14:textId="77777777" w:rsidR="00CF671D" w:rsidRPr="000C39FE" w:rsidRDefault="00CF671D" w:rsidP="00A6389C">
            <w:pPr>
              <w:pStyle w:val="NormalWeb"/>
              <w:spacing w:after="0"/>
              <w:ind w:left="306"/>
              <w:jc w:val="both"/>
              <w:rPr>
                <w:rFonts w:ascii="Tahoma" w:hAnsi="Tahoma" w:cs="Tahoma"/>
                <w:color w:val="auto"/>
                <w:sz w:val="20"/>
                <w:szCs w:val="20"/>
              </w:rPr>
            </w:pPr>
          </w:p>
          <w:p w14:paraId="1C800C93" w14:textId="2D85948F" w:rsidR="00CA6781" w:rsidRPr="000C39FE" w:rsidRDefault="001D7802" w:rsidP="00A6389C">
            <w:pPr>
              <w:pStyle w:val="BodyText2"/>
              <w:tabs>
                <w:tab w:val="left" w:pos="-1560"/>
              </w:tabs>
              <w:spacing w:after="60"/>
              <w:ind w:left="307"/>
              <w:rPr>
                <w:rFonts w:ascii="Tahoma" w:hAnsi="Tahoma" w:cs="Tahoma"/>
                <w:bCs/>
                <w:szCs w:val="20"/>
              </w:rPr>
            </w:pPr>
            <w:r w:rsidRPr="000C39FE">
              <w:rPr>
                <w:rFonts w:ascii="Tahoma" w:hAnsi="Tahoma" w:cs="Tahoma"/>
                <w:bCs/>
                <w:szCs w:val="20"/>
              </w:rPr>
              <w:t xml:space="preserve">Ustrezno se </w:t>
            </w:r>
            <w:r w:rsidR="00F7180C" w:rsidRPr="000C39FE">
              <w:rPr>
                <w:rFonts w:ascii="Tahoma" w:hAnsi="Tahoma" w:cs="Tahoma"/>
                <w:bCs/>
                <w:szCs w:val="20"/>
              </w:rPr>
              <w:t>popravi</w:t>
            </w:r>
            <w:r w:rsidRPr="000C39FE">
              <w:rPr>
                <w:rFonts w:ascii="Tahoma" w:hAnsi="Tahoma" w:cs="Tahoma"/>
                <w:bCs/>
                <w:szCs w:val="20"/>
              </w:rPr>
              <w:t xml:space="preserve"> tudi vsote vseh ur po letih.</w:t>
            </w:r>
          </w:p>
          <w:p w14:paraId="216CC41D" w14:textId="7B66B783" w:rsidR="001D7802" w:rsidRPr="000C39FE" w:rsidRDefault="001D7802" w:rsidP="001D7802">
            <w:pPr>
              <w:pStyle w:val="BodyText2"/>
              <w:numPr>
                <w:ilvl w:val="0"/>
                <w:numId w:val="31"/>
              </w:numPr>
              <w:tabs>
                <w:tab w:val="left" w:pos="-1560"/>
              </w:tabs>
              <w:spacing w:after="60"/>
              <w:rPr>
                <w:rFonts w:ascii="Tahoma" w:hAnsi="Tahoma" w:cs="Tahoma"/>
                <w:bCs/>
                <w:szCs w:val="20"/>
              </w:rPr>
            </w:pPr>
            <w:r w:rsidRPr="000C39FE">
              <w:rPr>
                <w:rFonts w:ascii="Tahoma" w:hAnsi="Tahoma" w:cs="Tahoma"/>
                <w:szCs w:val="20"/>
                <w:lang w:eastAsia="sl-SI"/>
              </w:rPr>
              <w:t xml:space="preserve">Priloga 2 – Obseg </w:t>
            </w:r>
            <w:proofErr w:type="spellStart"/>
            <w:r w:rsidRPr="000C39FE">
              <w:rPr>
                <w:rFonts w:ascii="Tahoma" w:hAnsi="Tahoma" w:cs="Tahoma"/>
                <w:szCs w:val="20"/>
                <w:lang w:eastAsia="sl-SI"/>
              </w:rPr>
              <w:t>konzultantskih</w:t>
            </w:r>
            <w:proofErr w:type="spellEnd"/>
            <w:r w:rsidRPr="000C39FE">
              <w:rPr>
                <w:rFonts w:ascii="Tahoma" w:hAnsi="Tahoma" w:cs="Tahoma"/>
                <w:szCs w:val="20"/>
                <w:lang w:eastAsia="sl-SI"/>
              </w:rPr>
              <w:t xml:space="preserve"> storitev-2021-2026 (</w:t>
            </w:r>
            <w:proofErr w:type="spellStart"/>
            <w:r w:rsidRPr="000C39FE">
              <w:rPr>
                <w:rFonts w:ascii="Tahoma" w:hAnsi="Tahoma" w:cs="Tahoma"/>
                <w:szCs w:val="20"/>
                <w:lang w:eastAsia="sl-SI"/>
              </w:rPr>
              <w:t>excel</w:t>
            </w:r>
            <w:proofErr w:type="spellEnd"/>
            <w:r w:rsidRPr="000C39FE">
              <w:rPr>
                <w:rFonts w:ascii="Tahoma" w:hAnsi="Tahoma" w:cs="Tahoma"/>
                <w:szCs w:val="20"/>
                <w:lang w:eastAsia="sl-SI"/>
              </w:rPr>
              <w:t xml:space="preserve"> </w:t>
            </w:r>
            <w:proofErr w:type="spellStart"/>
            <w:r w:rsidRPr="000C39FE">
              <w:rPr>
                <w:rFonts w:ascii="Tahoma" w:hAnsi="Tahoma" w:cs="Tahoma"/>
                <w:szCs w:val="20"/>
                <w:lang w:eastAsia="sl-SI"/>
              </w:rPr>
              <w:t>datototeka</w:t>
            </w:r>
            <w:proofErr w:type="spellEnd"/>
            <w:r w:rsidRPr="000C39FE">
              <w:rPr>
                <w:rFonts w:ascii="Tahoma" w:hAnsi="Tahoma" w:cs="Tahoma"/>
                <w:szCs w:val="20"/>
                <w:lang w:eastAsia="sl-SI"/>
              </w:rPr>
              <w:t>), zavihek »PROJEKT EU« se spremeni</w:t>
            </w:r>
            <w:r w:rsidRPr="000C39FE">
              <w:rPr>
                <w:rFonts w:ascii="Tahoma" w:hAnsi="Tahoma" w:cs="Tahoma"/>
                <w:szCs w:val="20"/>
              </w:rPr>
              <w:t xml:space="preserve"> tako, da se v Tabeli 3: Zahtevani strokovnjaki  »PROJEKT EU« spremeni tako, da se doda strokovnjaka z oznako funkcije S-03 Strokovnjak za gradnje in projektno dokumentacijo in se zanj predvidi skupno za vsa leta 7.230 h oz. po letih:</w:t>
            </w:r>
          </w:p>
          <w:p w14:paraId="2E9B2376" w14:textId="77777777" w:rsidR="00A95940" w:rsidRPr="000C39FE" w:rsidRDefault="00A95940" w:rsidP="00A95940">
            <w:pPr>
              <w:pStyle w:val="BodyText2"/>
              <w:tabs>
                <w:tab w:val="left" w:pos="-1560"/>
              </w:tabs>
              <w:spacing w:after="60"/>
              <w:ind w:left="360"/>
              <w:rPr>
                <w:rFonts w:ascii="Tahoma" w:hAnsi="Tahoma" w:cs="Tahoma"/>
                <w:bCs/>
                <w:szCs w:val="20"/>
              </w:rPr>
            </w:pPr>
          </w:p>
          <w:p w14:paraId="207A52EA" w14:textId="455AB706" w:rsidR="001D7802" w:rsidRPr="000C39FE" w:rsidRDefault="001D7802" w:rsidP="001D7802">
            <w:pPr>
              <w:pStyle w:val="BodyText2"/>
              <w:tabs>
                <w:tab w:val="left" w:pos="-1560"/>
              </w:tabs>
              <w:spacing w:after="60"/>
              <w:ind w:left="360"/>
              <w:rPr>
                <w:rFonts w:ascii="Tahoma" w:hAnsi="Tahoma" w:cs="Tahoma"/>
                <w:bCs/>
                <w:szCs w:val="20"/>
              </w:rPr>
            </w:pPr>
            <w:r w:rsidRPr="000C39FE">
              <w:rPr>
                <w:rFonts w:ascii="Tahoma" w:hAnsi="Tahoma" w:cs="Tahoma"/>
                <w:noProof/>
                <w:szCs w:val="20"/>
                <w:lang w:eastAsia="sl-SI"/>
              </w:rPr>
              <w:lastRenderedPageBreak/>
              <w:drawing>
                <wp:inline distT="0" distB="0" distL="0" distR="0" wp14:anchorId="442C4B5A" wp14:editId="7253A44B">
                  <wp:extent cx="5808345" cy="476250"/>
                  <wp:effectExtent l="0" t="0" r="190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8345" cy="476250"/>
                          </a:xfrm>
                          <a:prstGeom prst="rect">
                            <a:avLst/>
                          </a:prstGeom>
                        </pic:spPr>
                      </pic:pic>
                    </a:graphicData>
                  </a:graphic>
                </wp:inline>
              </w:drawing>
            </w:r>
          </w:p>
          <w:p w14:paraId="3ACFD788" w14:textId="77777777" w:rsidR="00A95940" w:rsidRPr="000C39FE" w:rsidRDefault="00A95940" w:rsidP="00A95940">
            <w:pPr>
              <w:pStyle w:val="BodyText2"/>
              <w:tabs>
                <w:tab w:val="left" w:pos="-1560"/>
              </w:tabs>
              <w:spacing w:after="60"/>
              <w:ind w:left="360"/>
              <w:rPr>
                <w:rFonts w:ascii="Tahoma" w:hAnsi="Tahoma" w:cs="Tahoma"/>
                <w:bCs/>
                <w:szCs w:val="20"/>
              </w:rPr>
            </w:pPr>
          </w:p>
          <w:p w14:paraId="76AD715F" w14:textId="10AC3DE9" w:rsidR="001D7802" w:rsidRPr="000C39FE" w:rsidRDefault="00A95940" w:rsidP="00A95940">
            <w:pPr>
              <w:pStyle w:val="BodyText2"/>
              <w:tabs>
                <w:tab w:val="left" w:pos="-1560"/>
              </w:tabs>
              <w:spacing w:after="60"/>
              <w:ind w:left="360"/>
              <w:rPr>
                <w:rFonts w:ascii="Tahoma" w:hAnsi="Tahoma" w:cs="Tahoma"/>
                <w:bCs/>
                <w:szCs w:val="20"/>
              </w:rPr>
            </w:pPr>
            <w:r w:rsidRPr="000C39FE">
              <w:rPr>
                <w:rFonts w:ascii="Tahoma" w:hAnsi="Tahoma" w:cs="Tahoma"/>
                <w:bCs/>
                <w:szCs w:val="20"/>
              </w:rPr>
              <w:t>Ustrezno se korigira zaporedna številka ostalih strokovnjakov in predvidi sodelovanje strokovnjaka S-03 tudi njegovo sodelovanje pri izdelavi projektnih nalog.</w:t>
            </w:r>
          </w:p>
          <w:p w14:paraId="68DCD866" w14:textId="77777777" w:rsidR="00A95940" w:rsidRPr="000C39FE" w:rsidRDefault="00A95940" w:rsidP="001D7802">
            <w:pPr>
              <w:pStyle w:val="BodyText2"/>
              <w:tabs>
                <w:tab w:val="left" w:pos="-1560"/>
              </w:tabs>
              <w:spacing w:after="60"/>
              <w:rPr>
                <w:rFonts w:ascii="Tahoma" w:hAnsi="Tahoma" w:cs="Tahoma"/>
                <w:bCs/>
                <w:szCs w:val="20"/>
              </w:rPr>
            </w:pPr>
          </w:p>
          <w:p w14:paraId="18FAAE7A" w14:textId="61E49036" w:rsidR="00F7180C" w:rsidRPr="000C39FE" w:rsidRDefault="007A30D9" w:rsidP="001D7802">
            <w:pPr>
              <w:pStyle w:val="BodyText2"/>
              <w:numPr>
                <w:ilvl w:val="0"/>
                <w:numId w:val="31"/>
              </w:numPr>
              <w:tabs>
                <w:tab w:val="left" w:pos="-1560"/>
              </w:tabs>
              <w:spacing w:after="60"/>
              <w:rPr>
                <w:rFonts w:ascii="Tahoma" w:hAnsi="Tahoma" w:cs="Tahoma"/>
                <w:bCs/>
                <w:szCs w:val="20"/>
              </w:rPr>
            </w:pPr>
            <w:r w:rsidRPr="000C39FE">
              <w:rPr>
                <w:rFonts w:ascii="Tahoma" w:hAnsi="Tahoma" w:cs="Tahoma"/>
                <w:szCs w:val="20"/>
              </w:rPr>
              <w:t xml:space="preserve">PRILOGA 1: OPIS NAROČILA-2021-2026 – </w:t>
            </w:r>
            <w:r w:rsidR="00F7180C" w:rsidRPr="000C39FE">
              <w:rPr>
                <w:rFonts w:ascii="Tahoma" w:hAnsi="Tahoma" w:cs="Tahoma"/>
                <w:szCs w:val="20"/>
              </w:rPr>
              <w:t>drugi odstavek točke</w:t>
            </w:r>
            <w:r w:rsidRPr="000C39FE">
              <w:rPr>
                <w:rFonts w:ascii="Tahoma" w:hAnsi="Tahoma" w:cs="Tahoma"/>
                <w:szCs w:val="20"/>
              </w:rPr>
              <w:t xml:space="preserve"> 4.2.3 </w:t>
            </w:r>
            <w:r w:rsidR="00F7180C" w:rsidRPr="000C39FE">
              <w:rPr>
                <w:rFonts w:ascii="Tahoma" w:hAnsi="Tahoma" w:cs="Tahoma"/>
                <w:szCs w:val="20"/>
              </w:rPr>
              <w:t>se spremeni tako, da se pravilno glasi:</w:t>
            </w:r>
          </w:p>
          <w:p w14:paraId="2BEA2CED" w14:textId="51CA3AB1" w:rsidR="00F7180C" w:rsidRPr="000C39FE" w:rsidRDefault="00F7180C" w:rsidP="00F7180C">
            <w:pPr>
              <w:pStyle w:val="BodyText2"/>
              <w:tabs>
                <w:tab w:val="left" w:pos="-1560"/>
              </w:tabs>
              <w:spacing w:after="60"/>
              <w:rPr>
                <w:rFonts w:ascii="Tahoma" w:hAnsi="Tahoma" w:cs="Tahoma"/>
                <w:szCs w:val="20"/>
              </w:rPr>
            </w:pPr>
          </w:p>
          <w:p w14:paraId="0E8BD047" w14:textId="187D54A4" w:rsidR="00F7180C" w:rsidRPr="000C39FE" w:rsidRDefault="00F7180C" w:rsidP="00F7180C">
            <w:pPr>
              <w:pStyle w:val="BodyText2"/>
              <w:tabs>
                <w:tab w:val="left" w:pos="-1560"/>
              </w:tabs>
              <w:spacing w:after="60"/>
              <w:ind w:left="360"/>
              <w:rPr>
                <w:rFonts w:ascii="Tahoma" w:hAnsi="Tahoma" w:cs="Tahoma"/>
                <w:szCs w:val="20"/>
              </w:rPr>
            </w:pPr>
            <w:r w:rsidRPr="000C39FE">
              <w:rPr>
                <w:rFonts w:ascii="Tahoma" w:hAnsi="Tahoma" w:cs="Tahoma"/>
                <w:szCs w:val="20"/>
              </w:rPr>
              <w:t>Projektna skupina mora biti zasnovana tako, da ima zadostno število zahtevanih strokovnjakov. Za sklope »Projekt sever«, »Projekt jug«, »Projekt kolesarske povezave«, »Projekt objekti« in »Projekt geotehnika« mora ponudnik zagotoviti projektno skupino sestavljeno iz enajstih (11) strokovnjakov, za »Projekt EU« projektno skupino sestavlja osem (8) strokovnjakov. Za sklop »Projekt Okolje« mora ponudnik zagotoviti projektno skupino, sestavljeno iz dvanajstih (12) strokovnjakov. Strokovnjak za javna naročila (S-05), strokovnjak za geodezijo (S-06) in strokovnjak za prostorsko dokumentacijo (S-07) lahko delo opravljajo sočasno pri treh sklopih. Strokovnjak za izdelavo investicijske dokumentacije (oznaka funkcije S-09) lahko sočasno delo opravlja pri dveh sklopih. Strokovnjak za prometno varnost (oznaka funkcije S-11) in strokovnjak za okolje za obremenitev s hrupom (S-08/HRUP), strokovnjak za okolje za onesnaženost zraka (S-08/ZRAK) in strokovnjak za okolje za padavinske vode (S-OB/VODE) lahko sočasno opravljajo delo pri vseh sedmih sklopih. Vsi ostali strokovnjaki, so lahko imenovani le pri enem sklopu.</w:t>
            </w:r>
          </w:p>
          <w:p w14:paraId="1B24D612" w14:textId="77777777" w:rsidR="00F7180C" w:rsidRPr="000C39FE" w:rsidRDefault="00F7180C" w:rsidP="00F7180C">
            <w:pPr>
              <w:pStyle w:val="BodyText2"/>
              <w:tabs>
                <w:tab w:val="left" w:pos="-1560"/>
              </w:tabs>
              <w:spacing w:after="60"/>
              <w:ind w:left="360"/>
              <w:rPr>
                <w:rFonts w:ascii="Tahoma" w:hAnsi="Tahoma" w:cs="Tahoma"/>
                <w:szCs w:val="20"/>
              </w:rPr>
            </w:pPr>
          </w:p>
          <w:p w14:paraId="262B29DE" w14:textId="6D483FC0" w:rsidR="00E5104A" w:rsidRPr="000C39FE" w:rsidRDefault="00E5104A" w:rsidP="001D7802">
            <w:pPr>
              <w:pStyle w:val="BodyText2"/>
              <w:numPr>
                <w:ilvl w:val="0"/>
                <w:numId w:val="31"/>
              </w:numPr>
              <w:tabs>
                <w:tab w:val="left" w:pos="-1560"/>
              </w:tabs>
              <w:spacing w:after="60"/>
              <w:rPr>
                <w:rFonts w:ascii="Tahoma" w:hAnsi="Tahoma" w:cs="Tahoma"/>
                <w:bCs/>
                <w:szCs w:val="20"/>
              </w:rPr>
            </w:pPr>
            <w:r w:rsidRPr="000C39FE">
              <w:rPr>
                <w:rFonts w:ascii="Tahoma" w:hAnsi="Tahoma" w:cs="Tahoma"/>
                <w:szCs w:val="20"/>
              </w:rPr>
              <w:t>Specifikacija ponudbene cene (</w:t>
            </w:r>
            <w:proofErr w:type="spellStart"/>
            <w:r w:rsidRPr="000C39FE">
              <w:rPr>
                <w:rFonts w:ascii="Tahoma" w:hAnsi="Tahoma" w:cs="Tahoma"/>
                <w:szCs w:val="20"/>
              </w:rPr>
              <w:t>excel</w:t>
            </w:r>
            <w:proofErr w:type="spellEnd"/>
            <w:r w:rsidRPr="000C39FE">
              <w:rPr>
                <w:rFonts w:ascii="Tahoma" w:hAnsi="Tahoma" w:cs="Tahoma"/>
                <w:szCs w:val="20"/>
              </w:rPr>
              <w:t xml:space="preserve"> datoteka) korigira se količina postavke 1 – </w:t>
            </w:r>
            <w:proofErr w:type="spellStart"/>
            <w:r w:rsidRPr="000C39FE">
              <w:rPr>
                <w:rFonts w:ascii="Tahoma" w:hAnsi="Tahoma" w:cs="Tahoma"/>
                <w:szCs w:val="20"/>
              </w:rPr>
              <w:t>konzultantske</w:t>
            </w:r>
            <w:proofErr w:type="spellEnd"/>
            <w:r w:rsidRPr="000C39FE">
              <w:rPr>
                <w:rFonts w:ascii="Tahoma" w:hAnsi="Tahoma" w:cs="Tahoma"/>
                <w:szCs w:val="20"/>
              </w:rPr>
              <w:t xml:space="preserve"> storitve strokovnjakov, skupna predvidena količina ur je sedaj 38.560 h (prej 31.330 h).</w:t>
            </w:r>
          </w:p>
          <w:p w14:paraId="07C29C85" w14:textId="77777777" w:rsidR="008E46D1" w:rsidRPr="000C39FE" w:rsidRDefault="008E46D1" w:rsidP="008E46D1">
            <w:pPr>
              <w:pStyle w:val="BodyText2"/>
              <w:tabs>
                <w:tab w:val="left" w:pos="-1560"/>
              </w:tabs>
              <w:spacing w:after="60"/>
              <w:rPr>
                <w:rFonts w:ascii="Tahoma" w:hAnsi="Tahoma" w:cs="Tahoma"/>
                <w:bCs/>
                <w:szCs w:val="20"/>
              </w:rPr>
            </w:pPr>
          </w:p>
          <w:p w14:paraId="72FCF4CD" w14:textId="1B60DBB0" w:rsidR="008E46D1" w:rsidRPr="000C39FE" w:rsidRDefault="008E46D1" w:rsidP="008E46D1">
            <w:pPr>
              <w:pStyle w:val="BodyText2"/>
              <w:numPr>
                <w:ilvl w:val="0"/>
                <w:numId w:val="31"/>
              </w:numPr>
              <w:tabs>
                <w:tab w:val="left" w:pos="-1560"/>
              </w:tabs>
              <w:spacing w:after="60"/>
              <w:rPr>
                <w:rFonts w:ascii="Tahoma" w:hAnsi="Tahoma" w:cs="Tahoma"/>
                <w:bCs/>
                <w:szCs w:val="20"/>
              </w:rPr>
            </w:pPr>
            <w:proofErr w:type="spellStart"/>
            <w:r w:rsidRPr="000C39FE">
              <w:rPr>
                <w:rFonts w:ascii="Tahoma" w:hAnsi="Tahoma" w:cs="Tahoma"/>
                <w:bCs/>
                <w:szCs w:val="20"/>
              </w:rPr>
              <w:t>Obrazci_Sklop</w:t>
            </w:r>
            <w:proofErr w:type="spellEnd"/>
            <w:r w:rsidRPr="000C39FE">
              <w:rPr>
                <w:rFonts w:ascii="Tahoma" w:hAnsi="Tahoma" w:cs="Tahoma"/>
                <w:bCs/>
                <w:szCs w:val="20"/>
              </w:rPr>
              <w:t xml:space="preserve"> Projekt EU – v Podatki o kadrovskih zmogljivostih -  Projektna skupina sklop »Projekt EU« se doda navedba strokovnjaka </w:t>
            </w:r>
            <w:r w:rsidRPr="000C39FE">
              <w:rPr>
                <w:rFonts w:ascii="Tahoma" w:hAnsi="Tahoma" w:cs="Tahoma"/>
                <w:szCs w:val="20"/>
              </w:rPr>
              <w:t xml:space="preserve">S-03 Strokovnjak za gradnje in projektno dokumentacijo in dopolni Izjava o zagotavljanju tehničnih in kadrovskih zmogljivosti za sklop »Projekt EU« ter v izjavi odpravi napako </w:t>
            </w:r>
            <w:r w:rsidRPr="000C39FE">
              <w:rPr>
                <w:rFonts w:ascii="Tahoma" w:hAnsi="Tahoma" w:cs="Tahoma"/>
                <w:bCs/>
                <w:szCs w:val="20"/>
              </w:rPr>
              <w:t>(letno kvoto ur 1.400 h namesto prej napačno 1.500 h).</w:t>
            </w:r>
          </w:p>
          <w:p w14:paraId="2F4DDAF8" w14:textId="77777777" w:rsidR="008E46D1" w:rsidRPr="000C39FE" w:rsidRDefault="008E46D1" w:rsidP="008E46D1">
            <w:pPr>
              <w:pStyle w:val="ListParagraph"/>
              <w:rPr>
                <w:rFonts w:ascii="Tahoma" w:hAnsi="Tahoma" w:cs="Tahoma"/>
                <w:bCs/>
                <w:sz w:val="20"/>
                <w:szCs w:val="20"/>
              </w:rPr>
            </w:pPr>
          </w:p>
          <w:p w14:paraId="58D620F4" w14:textId="77777777" w:rsidR="008E46D1" w:rsidRPr="000C39FE" w:rsidRDefault="008E46D1" w:rsidP="008E46D1">
            <w:pPr>
              <w:pStyle w:val="BodyText2"/>
              <w:tabs>
                <w:tab w:val="left" w:pos="-1560"/>
              </w:tabs>
              <w:spacing w:after="60"/>
              <w:ind w:left="360"/>
              <w:rPr>
                <w:rFonts w:ascii="Tahoma" w:hAnsi="Tahoma" w:cs="Tahoma"/>
                <w:bCs/>
                <w:szCs w:val="20"/>
              </w:rPr>
            </w:pPr>
            <w:r w:rsidRPr="000C39FE">
              <w:rPr>
                <w:rFonts w:ascii="Tahoma" w:hAnsi="Tahoma" w:cs="Tahoma"/>
                <w:bCs/>
                <w:szCs w:val="20"/>
              </w:rPr>
              <w:t xml:space="preserve">…..Izjavljamo, da bomo za ves čas trajanja pogodbe zagotovili, da bodo imenovani strokovnjaki v projektni skupini za katere je določena letna kvota 1800 ur oz. letna kvota </w:t>
            </w:r>
            <w:r w:rsidRPr="000C39FE">
              <w:rPr>
                <w:rFonts w:ascii="Tahoma" w:hAnsi="Tahoma" w:cs="Tahoma"/>
                <w:bCs/>
                <w:color w:val="FF0000"/>
                <w:szCs w:val="20"/>
              </w:rPr>
              <w:t>1.400 ur</w:t>
            </w:r>
            <w:r w:rsidRPr="000C39FE">
              <w:rPr>
                <w:rFonts w:ascii="Tahoma" w:hAnsi="Tahoma" w:cs="Tahoma"/>
                <w:bCs/>
                <w:szCs w:val="20"/>
              </w:rPr>
              <w:t>….</w:t>
            </w:r>
          </w:p>
          <w:p w14:paraId="3A333DB3" w14:textId="77777777" w:rsidR="008E46D1" w:rsidRPr="000C39FE" w:rsidRDefault="008E46D1" w:rsidP="008E46D1">
            <w:pPr>
              <w:pStyle w:val="ListParagraph"/>
              <w:rPr>
                <w:rFonts w:ascii="Tahoma" w:hAnsi="Tahoma" w:cs="Tahoma"/>
                <w:bCs/>
                <w:sz w:val="20"/>
                <w:szCs w:val="20"/>
              </w:rPr>
            </w:pPr>
          </w:p>
          <w:p w14:paraId="4BF1FC65" w14:textId="04CFDA4F" w:rsidR="008E46D1" w:rsidRPr="000C39FE" w:rsidRDefault="008E46D1" w:rsidP="008E46D1">
            <w:pPr>
              <w:pStyle w:val="BodyText2"/>
              <w:numPr>
                <w:ilvl w:val="0"/>
                <w:numId w:val="31"/>
              </w:numPr>
              <w:tabs>
                <w:tab w:val="left" w:pos="-1560"/>
              </w:tabs>
              <w:spacing w:after="60"/>
              <w:rPr>
                <w:rFonts w:ascii="Tahoma" w:hAnsi="Tahoma" w:cs="Tahoma"/>
                <w:bCs/>
                <w:szCs w:val="20"/>
              </w:rPr>
            </w:pPr>
            <w:r w:rsidRPr="000C39FE">
              <w:rPr>
                <w:rFonts w:ascii="Tahoma" w:hAnsi="Tahoma" w:cs="Tahoma"/>
                <w:bCs/>
                <w:szCs w:val="20"/>
              </w:rPr>
              <w:t xml:space="preserve">V vseh obrazcih: </w:t>
            </w:r>
            <w:proofErr w:type="spellStart"/>
            <w:r w:rsidRPr="000C39FE">
              <w:rPr>
                <w:rFonts w:ascii="Tahoma" w:hAnsi="Tahoma" w:cs="Tahoma"/>
                <w:bCs/>
                <w:szCs w:val="20"/>
              </w:rPr>
              <w:t>Obrazci_Sklop</w:t>
            </w:r>
            <w:proofErr w:type="spellEnd"/>
            <w:r w:rsidRPr="000C39FE">
              <w:rPr>
                <w:rFonts w:ascii="Tahoma" w:hAnsi="Tahoma" w:cs="Tahoma"/>
                <w:bCs/>
                <w:szCs w:val="20"/>
              </w:rPr>
              <w:t xml:space="preserve"> Projekt Geotehnika, </w:t>
            </w:r>
            <w:proofErr w:type="spellStart"/>
            <w:r w:rsidRPr="000C39FE">
              <w:rPr>
                <w:rFonts w:ascii="Tahoma" w:hAnsi="Tahoma" w:cs="Tahoma"/>
                <w:bCs/>
                <w:szCs w:val="20"/>
              </w:rPr>
              <w:t>Obrazci_Sklop</w:t>
            </w:r>
            <w:proofErr w:type="spellEnd"/>
            <w:r w:rsidRPr="000C39FE">
              <w:rPr>
                <w:rFonts w:ascii="Tahoma" w:hAnsi="Tahoma" w:cs="Tahoma"/>
                <w:bCs/>
                <w:szCs w:val="20"/>
              </w:rPr>
              <w:t xml:space="preserve"> Projekt Jug, </w:t>
            </w:r>
            <w:proofErr w:type="spellStart"/>
            <w:r w:rsidRPr="000C39FE">
              <w:rPr>
                <w:rFonts w:ascii="Tahoma" w:hAnsi="Tahoma" w:cs="Tahoma"/>
                <w:bCs/>
                <w:szCs w:val="20"/>
              </w:rPr>
              <w:t>Obrazci_Sklop</w:t>
            </w:r>
            <w:proofErr w:type="spellEnd"/>
            <w:r w:rsidRPr="000C39FE">
              <w:rPr>
                <w:rFonts w:ascii="Tahoma" w:hAnsi="Tahoma" w:cs="Tahoma"/>
                <w:bCs/>
                <w:szCs w:val="20"/>
              </w:rPr>
              <w:t xml:space="preserve"> Projekt Sever, </w:t>
            </w:r>
            <w:proofErr w:type="spellStart"/>
            <w:r w:rsidRPr="000C39FE">
              <w:rPr>
                <w:rFonts w:ascii="Tahoma" w:hAnsi="Tahoma" w:cs="Tahoma"/>
                <w:bCs/>
                <w:szCs w:val="20"/>
              </w:rPr>
              <w:t>Obrazci_Sklop</w:t>
            </w:r>
            <w:proofErr w:type="spellEnd"/>
            <w:r w:rsidRPr="000C39FE">
              <w:rPr>
                <w:rFonts w:ascii="Tahoma" w:hAnsi="Tahoma" w:cs="Tahoma"/>
                <w:bCs/>
                <w:szCs w:val="20"/>
              </w:rPr>
              <w:t xml:space="preserve"> Projekt Kolesarske povezave, </w:t>
            </w:r>
            <w:proofErr w:type="spellStart"/>
            <w:r w:rsidRPr="000C39FE">
              <w:rPr>
                <w:rFonts w:ascii="Tahoma" w:hAnsi="Tahoma" w:cs="Tahoma"/>
                <w:bCs/>
                <w:szCs w:val="20"/>
              </w:rPr>
              <w:t>Obrazci_Sklop</w:t>
            </w:r>
            <w:proofErr w:type="spellEnd"/>
            <w:r w:rsidRPr="000C39FE">
              <w:rPr>
                <w:rFonts w:ascii="Tahoma" w:hAnsi="Tahoma" w:cs="Tahoma"/>
                <w:bCs/>
                <w:szCs w:val="20"/>
              </w:rPr>
              <w:t xml:space="preserve"> Objekti se v Izjavi o zagotavljanju tehničnih in kadrovskih zmogljivosti pri razpoložljivosti strokovnjakov odpravi napako (letno kvoto ur 1.400 h namesto prej napačno 1.500 h).</w:t>
            </w:r>
          </w:p>
          <w:p w14:paraId="66205B02" w14:textId="77777777" w:rsidR="008E46D1" w:rsidRPr="000C39FE" w:rsidRDefault="008E46D1" w:rsidP="008E46D1">
            <w:pPr>
              <w:pStyle w:val="ListParagraph"/>
              <w:rPr>
                <w:rFonts w:ascii="Tahoma" w:hAnsi="Tahoma" w:cs="Tahoma"/>
                <w:bCs/>
                <w:sz w:val="20"/>
                <w:szCs w:val="20"/>
              </w:rPr>
            </w:pPr>
          </w:p>
          <w:p w14:paraId="603ABFC9" w14:textId="65A487DD" w:rsidR="001D7802" w:rsidRPr="000C39FE" w:rsidRDefault="008E46D1" w:rsidP="008E46D1">
            <w:pPr>
              <w:pStyle w:val="BodyText2"/>
              <w:tabs>
                <w:tab w:val="left" w:pos="-1560"/>
              </w:tabs>
              <w:spacing w:after="60"/>
              <w:ind w:left="360"/>
              <w:rPr>
                <w:rFonts w:ascii="Tahoma" w:hAnsi="Tahoma" w:cs="Tahoma"/>
                <w:bCs/>
                <w:szCs w:val="20"/>
              </w:rPr>
            </w:pPr>
            <w:r w:rsidRPr="000C39FE">
              <w:rPr>
                <w:rFonts w:ascii="Tahoma" w:hAnsi="Tahoma" w:cs="Tahoma"/>
                <w:bCs/>
                <w:szCs w:val="20"/>
              </w:rPr>
              <w:t xml:space="preserve">…..Izjavljamo, da bomo za ves čas trajanja pogodbe zagotovili, da bodo imenovani strokovnjaki v projektni skupini za katere je določena letna kvota 1800 ur oz. letna kvota </w:t>
            </w:r>
            <w:r w:rsidRPr="000C39FE">
              <w:rPr>
                <w:rFonts w:ascii="Tahoma" w:hAnsi="Tahoma" w:cs="Tahoma"/>
                <w:bCs/>
                <w:color w:val="FF0000"/>
                <w:szCs w:val="20"/>
              </w:rPr>
              <w:t>1.400 ur</w:t>
            </w:r>
            <w:r w:rsidRPr="000C39FE">
              <w:rPr>
                <w:rFonts w:ascii="Tahoma" w:hAnsi="Tahoma" w:cs="Tahoma"/>
                <w:bCs/>
                <w:szCs w:val="20"/>
              </w:rPr>
              <w:t>….</w:t>
            </w:r>
          </w:p>
        </w:tc>
      </w:tr>
    </w:tbl>
    <w:p w14:paraId="0B1FBC73" w14:textId="77777777" w:rsidR="00556816" w:rsidRPr="000C39FE" w:rsidRDefault="00556816">
      <w:pPr>
        <w:pStyle w:val="BodyText2"/>
        <w:widowControl w:val="0"/>
        <w:spacing w:line="254" w:lineRule="atLeast"/>
        <w:rPr>
          <w:rFonts w:ascii="Tahoma" w:hAnsi="Tahoma" w:cs="Tahoma"/>
          <w:b/>
          <w:szCs w:val="20"/>
        </w:rPr>
      </w:pPr>
    </w:p>
    <w:p w14:paraId="5B8D4990" w14:textId="77777777" w:rsidR="004B34B5" w:rsidRPr="000C39FE" w:rsidRDefault="004B34B5">
      <w:pPr>
        <w:pStyle w:val="BodyText2"/>
        <w:widowControl w:val="0"/>
        <w:spacing w:line="254" w:lineRule="atLeast"/>
        <w:rPr>
          <w:rFonts w:ascii="Tahoma" w:hAnsi="Tahoma" w:cs="Tahoma"/>
          <w:szCs w:val="20"/>
        </w:rPr>
      </w:pPr>
    </w:p>
    <w:p w14:paraId="564C0595" w14:textId="77777777" w:rsidR="004B34B5" w:rsidRPr="000C39FE" w:rsidRDefault="004B34B5">
      <w:pPr>
        <w:pStyle w:val="BodyText2"/>
        <w:widowControl w:val="0"/>
        <w:spacing w:line="254" w:lineRule="atLeast"/>
        <w:rPr>
          <w:rFonts w:ascii="Tahoma" w:hAnsi="Tahoma" w:cs="Tahoma"/>
          <w:szCs w:val="20"/>
        </w:rPr>
      </w:pPr>
      <w:r w:rsidRPr="000C39FE">
        <w:rPr>
          <w:rFonts w:ascii="Tahoma" w:hAnsi="Tahoma" w:cs="Tahoma"/>
          <w:szCs w:val="20"/>
        </w:rPr>
        <w:t>Sp</w:t>
      </w:r>
      <w:bookmarkStart w:id="1" w:name="_GoBack"/>
      <w:bookmarkEnd w:id="1"/>
      <w:r w:rsidRPr="000C39FE">
        <w:rPr>
          <w:rFonts w:ascii="Tahoma" w:hAnsi="Tahoma" w:cs="Tahoma"/>
          <w:szCs w:val="20"/>
        </w:rPr>
        <w:t>remembe</w:t>
      </w:r>
      <w:r w:rsidR="00556816" w:rsidRPr="000C39FE">
        <w:rPr>
          <w:rFonts w:ascii="Tahoma" w:hAnsi="Tahoma" w:cs="Tahoma"/>
          <w:szCs w:val="20"/>
        </w:rPr>
        <w:t xml:space="preserve"> </w:t>
      </w:r>
      <w:r w:rsidRPr="000C39FE">
        <w:rPr>
          <w:rFonts w:ascii="Tahoma" w:hAnsi="Tahoma" w:cs="Tahoma"/>
          <w:szCs w:val="20"/>
        </w:rPr>
        <w:t>so</w:t>
      </w:r>
      <w:r w:rsidR="00556816" w:rsidRPr="000C39FE">
        <w:rPr>
          <w:rFonts w:ascii="Tahoma" w:hAnsi="Tahoma" w:cs="Tahoma"/>
          <w:szCs w:val="20"/>
        </w:rPr>
        <w:t xml:space="preserve"> sestavni del razpisne dokumentacije in </w:t>
      </w:r>
      <w:r w:rsidRPr="000C39FE">
        <w:rPr>
          <w:rFonts w:ascii="Tahoma" w:hAnsi="Tahoma" w:cs="Tahoma"/>
          <w:szCs w:val="20"/>
        </w:rPr>
        <w:t>jih</w:t>
      </w:r>
      <w:r w:rsidR="00556816" w:rsidRPr="000C39FE">
        <w:rPr>
          <w:rFonts w:ascii="Tahoma" w:hAnsi="Tahoma" w:cs="Tahoma"/>
          <w:szCs w:val="20"/>
        </w:rPr>
        <w:t xml:space="preserve"> je potrebno upoštevati pri pripravi ponudbe.</w:t>
      </w:r>
    </w:p>
    <w:sectPr w:rsidR="004B34B5" w:rsidRPr="000C39FE" w:rsidSect="008E46D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3"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7CFF" w14:textId="77777777" w:rsidR="00F90BEC" w:rsidRDefault="00F90BEC">
      <w:r>
        <w:separator/>
      </w:r>
    </w:p>
  </w:endnote>
  <w:endnote w:type="continuationSeparator" w:id="0">
    <w:p w14:paraId="59477596" w14:textId="77777777" w:rsidR="00F90BEC" w:rsidRDefault="00F9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2C6" w14:textId="77777777" w:rsidR="00F16D02" w:rsidRDefault="00F1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BE94"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484FC3CD" w14:textId="77777777">
      <w:trPr>
        <w:cantSplit/>
        <w:trHeight w:val="785"/>
      </w:trPr>
      <w:tc>
        <w:tcPr>
          <w:tcW w:w="3614" w:type="dxa"/>
          <w:tcBorders>
            <w:top w:val="single" w:sz="4" w:space="0" w:color="auto"/>
          </w:tcBorders>
          <w:vAlign w:val="center"/>
        </w:tcPr>
        <w:p w14:paraId="6CCB3DC8" w14:textId="77777777" w:rsidR="00A17575" w:rsidRDefault="00A17575">
          <w:pPr>
            <w:pStyle w:val="BodyText"/>
            <w:rPr>
              <w:sz w:val="16"/>
            </w:rPr>
          </w:pPr>
        </w:p>
      </w:tc>
      <w:tc>
        <w:tcPr>
          <w:tcW w:w="956" w:type="dxa"/>
          <w:tcBorders>
            <w:top w:val="single" w:sz="4" w:space="0" w:color="auto"/>
          </w:tcBorders>
          <w:vAlign w:val="center"/>
        </w:tcPr>
        <w:p w14:paraId="4C0E11F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52D46216" w14:textId="77777777" w:rsidR="00A17575" w:rsidRDefault="00A17575">
          <w:pPr>
            <w:pStyle w:val="Footer"/>
            <w:rPr>
              <w:sz w:val="16"/>
            </w:rPr>
          </w:pPr>
        </w:p>
      </w:tc>
      <w:tc>
        <w:tcPr>
          <w:tcW w:w="3240" w:type="dxa"/>
          <w:tcBorders>
            <w:top w:val="single" w:sz="4" w:space="0" w:color="auto"/>
          </w:tcBorders>
          <w:vAlign w:val="center"/>
        </w:tcPr>
        <w:p w14:paraId="38C3BDA9" w14:textId="6F21513B"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C39F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C39FE">
            <w:rPr>
              <w:rStyle w:val="PageNumber"/>
              <w:noProof/>
              <w:sz w:val="16"/>
            </w:rPr>
            <w:t>2</w:t>
          </w:r>
          <w:r>
            <w:rPr>
              <w:rStyle w:val="PageNumber"/>
              <w:sz w:val="16"/>
            </w:rPr>
            <w:fldChar w:fldCharType="end"/>
          </w:r>
        </w:p>
      </w:tc>
    </w:tr>
  </w:tbl>
  <w:p w14:paraId="37176D49" w14:textId="77777777" w:rsidR="00A17575" w:rsidRDefault="00A17575">
    <w:pPr>
      <w:pStyle w:val="Footer"/>
      <w:rPr>
        <w:rFonts w:ascii="Arial" w:hAnsi="Arial"/>
        <w:sz w:val="2"/>
        <w:lang w:val="en-US"/>
      </w:rPr>
    </w:pPr>
  </w:p>
  <w:p w14:paraId="18C84CE2" w14:textId="77777777"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0E1B" w14:textId="77777777" w:rsidR="00A17575" w:rsidRDefault="00A17575" w:rsidP="002507C2">
    <w:pPr>
      <w:pStyle w:val="Footer"/>
      <w:ind w:firstLine="540"/>
    </w:pPr>
    <w:r>
      <w:t xml:space="preserve">  </w:t>
    </w:r>
    <w:r w:rsidR="00F16D02" w:rsidRPr="00643501">
      <w:rPr>
        <w:noProof/>
        <w:lang w:eastAsia="sl-SI"/>
      </w:rPr>
      <w:drawing>
        <wp:inline distT="0" distB="0" distL="0" distR="0" wp14:anchorId="169269B8" wp14:editId="09EE7A62">
          <wp:extent cx="541655" cy="436245"/>
          <wp:effectExtent l="0" t="0" r="0" b="0"/>
          <wp:docPr id="16"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6245"/>
                  </a:xfrm>
                  <a:prstGeom prst="rect">
                    <a:avLst/>
                  </a:prstGeom>
                  <a:noFill/>
                  <a:ln>
                    <a:noFill/>
                  </a:ln>
                </pic:spPr>
              </pic:pic>
            </a:graphicData>
          </a:graphic>
        </wp:inline>
      </w:drawing>
    </w:r>
    <w:r>
      <w:t xml:space="preserve">    </w:t>
    </w:r>
    <w:r w:rsidR="00F16D02" w:rsidRPr="00643501">
      <w:rPr>
        <w:noProof/>
        <w:lang w:eastAsia="sl-SI"/>
      </w:rPr>
      <w:drawing>
        <wp:inline distT="0" distB="0" distL="0" distR="0" wp14:anchorId="1CD9C078" wp14:editId="68B97E47">
          <wp:extent cx="436245" cy="436245"/>
          <wp:effectExtent l="0" t="0" r="0" b="0"/>
          <wp:docPr id="17"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t xml:space="preserve">    </w:t>
    </w:r>
    <w:r w:rsidR="00F16D02" w:rsidRPr="00CF74F9">
      <w:rPr>
        <w:noProof/>
        <w:lang w:eastAsia="sl-SI"/>
      </w:rPr>
      <w:drawing>
        <wp:inline distT="0" distB="0" distL="0" distR="0" wp14:anchorId="2F2E5CF6" wp14:editId="20B103D0">
          <wp:extent cx="2342515" cy="337820"/>
          <wp:effectExtent l="0" t="0" r="0" b="0"/>
          <wp:docPr id="18"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515" cy="337820"/>
                  </a:xfrm>
                  <a:prstGeom prst="rect">
                    <a:avLst/>
                  </a:prstGeom>
                  <a:noFill/>
                  <a:ln>
                    <a:noFill/>
                  </a:ln>
                </pic:spPr>
              </pic:pic>
            </a:graphicData>
          </a:graphic>
        </wp:inline>
      </w:drawing>
    </w:r>
    <w:r>
      <w:t xml:space="preserve">        </w:t>
    </w:r>
  </w:p>
  <w:p w14:paraId="04891940"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AB91" w14:textId="77777777" w:rsidR="00F90BEC" w:rsidRDefault="00F90BEC">
      <w:r>
        <w:separator/>
      </w:r>
    </w:p>
  </w:footnote>
  <w:footnote w:type="continuationSeparator" w:id="0">
    <w:p w14:paraId="52E25F46" w14:textId="77777777" w:rsidR="00F90BEC" w:rsidRDefault="00F9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12F" w14:textId="77777777" w:rsidR="00F16D02" w:rsidRDefault="00F1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C5AA" w14:textId="77777777" w:rsidR="00F16D02" w:rsidRDefault="00F1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64E8" w14:textId="77777777" w:rsidR="00F16D02" w:rsidRDefault="00F1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A729EE"/>
    <w:multiLevelType w:val="hybridMultilevel"/>
    <w:tmpl w:val="3F02B224"/>
    <w:lvl w:ilvl="0" w:tplc="146E04FA">
      <w:start w:val="1"/>
      <w:numFmt w:val="decimal"/>
      <w:pStyle w:val="len"/>
      <w:lvlText w:val="%1."/>
      <w:lvlJc w:val="left"/>
      <w:pPr>
        <w:tabs>
          <w:tab w:val="num" w:pos="4472"/>
        </w:tabs>
        <w:ind w:left="4472"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4484C"/>
    <w:multiLevelType w:val="hybridMultilevel"/>
    <w:tmpl w:val="C0F8A2F2"/>
    <w:lvl w:ilvl="0" w:tplc="358EEE4C">
      <w:start w:val="1"/>
      <w:numFmt w:val="bullet"/>
      <w:lvlText w:val=""/>
      <w:lvlJc w:val="left"/>
      <w:pPr>
        <w:ind w:left="1440" w:hanging="360"/>
      </w:pPr>
      <w:rPr>
        <w:rFonts w:ascii="Symbol" w:hAnsi="Symbol" w:hint="default"/>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98345A2"/>
    <w:multiLevelType w:val="hybridMultilevel"/>
    <w:tmpl w:val="AC969A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7" w15:restartNumberingAfterBreak="0">
    <w:nsid w:val="35DC67DA"/>
    <w:multiLevelType w:val="hybridMultilevel"/>
    <w:tmpl w:val="E9667A6C"/>
    <w:lvl w:ilvl="0" w:tplc="5992D362">
      <w:start w:val="3"/>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386717AD"/>
    <w:multiLevelType w:val="hybridMultilevel"/>
    <w:tmpl w:val="67E09C6A"/>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C22151"/>
    <w:multiLevelType w:val="hybridMultilevel"/>
    <w:tmpl w:val="67386AB6"/>
    <w:lvl w:ilvl="0" w:tplc="3A263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3839DA"/>
    <w:multiLevelType w:val="hybridMultilevel"/>
    <w:tmpl w:val="F0FA6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1B1FCA"/>
    <w:multiLevelType w:val="hybridMultilevel"/>
    <w:tmpl w:val="629EC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D3122F"/>
    <w:multiLevelType w:val="hybridMultilevel"/>
    <w:tmpl w:val="6DD04106"/>
    <w:lvl w:ilvl="0" w:tplc="F040491E">
      <w:start w:val="3"/>
      <w:numFmt w:val="bullet"/>
      <w:lvlText w:val="-"/>
      <w:lvlJc w:val="left"/>
      <w:pPr>
        <w:ind w:left="1440" w:hanging="360"/>
      </w:pPr>
      <w:rPr>
        <w:rFonts w:ascii="Times New Roman" w:eastAsia="Times New Roman" w:hAnsi="Times New Roman" w:cs="Times New Roman" w:hint="default"/>
      </w:rPr>
    </w:lvl>
    <w:lvl w:ilvl="1" w:tplc="D2FC901A">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A5BAB"/>
    <w:multiLevelType w:val="hybridMultilevel"/>
    <w:tmpl w:val="ABD21600"/>
    <w:lvl w:ilvl="0" w:tplc="3468C400">
      <w:start w:val="243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60B41EFD"/>
    <w:multiLevelType w:val="hybridMultilevel"/>
    <w:tmpl w:val="F1C6D450"/>
    <w:lvl w:ilvl="0" w:tplc="3EB63030">
      <w:numFmt w:val="bullet"/>
      <w:lvlText w:val="-"/>
      <w:lvlJc w:val="left"/>
      <w:pPr>
        <w:tabs>
          <w:tab w:val="num" w:pos="231"/>
        </w:tabs>
        <w:ind w:left="231" w:hanging="360"/>
      </w:pPr>
      <w:rPr>
        <w:rFonts w:hint="default"/>
      </w:rPr>
    </w:lvl>
    <w:lvl w:ilvl="1" w:tplc="FFFFFFFF">
      <w:start w:val="1"/>
      <w:numFmt w:val="bullet"/>
      <w:lvlText w:val="o"/>
      <w:lvlJc w:val="left"/>
      <w:pPr>
        <w:tabs>
          <w:tab w:val="num" w:pos="427"/>
        </w:tabs>
        <w:ind w:left="427" w:hanging="360"/>
      </w:pPr>
      <w:rPr>
        <w:rFonts w:ascii="Courier New" w:hAnsi="Courier New" w:cs="Courier New" w:hint="default"/>
      </w:rPr>
    </w:lvl>
    <w:lvl w:ilvl="2" w:tplc="FFFFFFFF">
      <w:start w:val="1"/>
      <w:numFmt w:val="bullet"/>
      <w:lvlText w:val=""/>
      <w:lvlJc w:val="left"/>
      <w:pPr>
        <w:tabs>
          <w:tab w:val="num" w:pos="1671"/>
        </w:tabs>
        <w:ind w:left="1671" w:hanging="360"/>
      </w:pPr>
      <w:rPr>
        <w:rFonts w:ascii="Wingdings" w:hAnsi="Wingdings" w:hint="default"/>
      </w:rPr>
    </w:lvl>
    <w:lvl w:ilvl="3" w:tplc="FFFFFFFF" w:tentative="1">
      <w:start w:val="1"/>
      <w:numFmt w:val="bullet"/>
      <w:lvlText w:val=""/>
      <w:lvlJc w:val="left"/>
      <w:pPr>
        <w:tabs>
          <w:tab w:val="num" w:pos="2391"/>
        </w:tabs>
        <w:ind w:left="2391" w:hanging="360"/>
      </w:pPr>
      <w:rPr>
        <w:rFonts w:ascii="Symbol" w:hAnsi="Symbol" w:hint="default"/>
      </w:rPr>
    </w:lvl>
    <w:lvl w:ilvl="4" w:tplc="FFFFFFFF" w:tentative="1">
      <w:start w:val="1"/>
      <w:numFmt w:val="bullet"/>
      <w:lvlText w:val="o"/>
      <w:lvlJc w:val="left"/>
      <w:pPr>
        <w:tabs>
          <w:tab w:val="num" w:pos="3111"/>
        </w:tabs>
        <w:ind w:left="3111" w:hanging="360"/>
      </w:pPr>
      <w:rPr>
        <w:rFonts w:ascii="Courier New" w:hAnsi="Courier New" w:cs="Courier New" w:hint="default"/>
      </w:rPr>
    </w:lvl>
    <w:lvl w:ilvl="5" w:tplc="FFFFFFFF" w:tentative="1">
      <w:start w:val="1"/>
      <w:numFmt w:val="bullet"/>
      <w:lvlText w:val=""/>
      <w:lvlJc w:val="left"/>
      <w:pPr>
        <w:tabs>
          <w:tab w:val="num" w:pos="3831"/>
        </w:tabs>
        <w:ind w:left="3831" w:hanging="360"/>
      </w:pPr>
      <w:rPr>
        <w:rFonts w:ascii="Wingdings" w:hAnsi="Wingdings" w:hint="default"/>
      </w:rPr>
    </w:lvl>
    <w:lvl w:ilvl="6" w:tplc="FFFFFFFF" w:tentative="1">
      <w:start w:val="1"/>
      <w:numFmt w:val="bullet"/>
      <w:lvlText w:val=""/>
      <w:lvlJc w:val="left"/>
      <w:pPr>
        <w:tabs>
          <w:tab w:val="num" w:pos="4551"/>
        </w:tabs>
        <w:ind w:left="4551" w:hanging="360"/>
      </w:pPr>
      <w:rPr>
        <w:rFonts w:ascii="Symbol" w:hAnsi="Symbol" w:hint="default"/>
      </w:rPr>
    </w:lvl>
    <w:lvl w:ilvl="7" w:tplc="FFFFFFFF" w:tentative="1">
      <w:start w:val="1"/>
      <w:numFmt w:val="bullet"/>
      <w:lvlText w:val="o"/>
      <w:lvlJc w:val="left"/>
      <w:pPr>
        <w:tabs>
          <w:tab w:val="num" w:pos="5271"/>
        </w:tabs>
        <w:ind w:left="5271" w:hanging="360"/>
      </w:pPr>
      <w:rPr>
        <w:rFonts w:ascii="Courier New" w:hAnsi="Courier New" w:cs="Courier New" w:hint="default"/>
      </w:rPr>
    </w:lvl>
    <w:lvl w:ilvl="8" w:tplc="FFFFFFFF" w:tentative="1">
      <w:start w:val="1"/>
      <w:numFmt w:val="bullet"/>
      <w:lvlText w:val=""/>
      <w:lvlJc w:val="left"/>
      <w:pPr>
        <w:tabs>
          <w:tab w:val="num" w:pos="5991"/>
        </w:tabs>
        <w:ind w:left="5991" w:hanging="360"/>
      </w:pPr>
      <w:rPr>
        <w:rFonts w:ascii="Wingdings" w:hAnsi="Wingdings" w:hint="default"/>
      </w:rPr>
    </w:lvl>
  </w:abstractNum>
  <w:abstractNum w:abstractNumId="26" w15:restartNumberingAfterBreak="0">
    <w:nsid w:val="69B7595C"/>
    <w:multiLevelType w:val="hybridMultilevel"/>
    <w:tmpl w:val="BA9813F2"/>
    <w:lvl w:ilvl="0" w:tplc="3AFAED02">
      <w:start w:val="1"/>
      <w:numFmt w:val="bullet"/>
      <w:lvlText w:val=""/>
      <w:lvlJc w:val="left"/>
      <w:pPr>
        <w:ind w:left="1440" w:hanging="360"/>
      </w:pPr>
      <w:rPr>
        <w:rFonts w:ascii="Symbol" w:hAnsi="Symbol"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8" w15:restartNumberingAfterBreak="0">
    <w:nsid w:val="6C317328"/>
    <w:multiLevelType w:val="hybridMultilevel"/>
    <w:tmpl w:val="AF7C9A7A"/>
    <w:lvl w:ilvl="0" w:tplc="B3B23DEA">
      <w:start w:val="1"/>
      <w:numFmt w:val="bullet"/>
      <w:lvlText w:val="-"/>
      <w:lvlJc w:val="left"/>
      <w:pPr>
        <w:ind w:left="1080" w:hanging="360"/>
      </w:pPr>
      <w:rPr>
        <w:rFonts w:ascii="Arial" w:eastAsia="Times New Roman"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2D52D4B"/>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30"/>
  </w:num>
  <w:num w:numId="4">
    <w:abstractNumId w:val="8"/>
  </w:num>
  <w:num w:numId="5">
    <w:abstractNumId w:val="18"/>
  </w:num>
  <w:num w:numId="6">
    <w:abstractNumId w:val="27"/>
  </w:num>
  <w:num w:numId="7">
    <w:abstractNumId w:val="15"/>
  </w:num>
  <w:num w:numId="8">
    <w:abstractNumId w:val="5"/>
  </w:num>
  <w:num w:numId="9">
    <w:abstractNumId w:val="12"/>
  </w:num>
  <w:num w:numId="10">
    <w:abstractNumId w:val="6"/>
  </w:num>
  <w:num w:numId="11">
    <w:abstractNumId w:val="0"/>
  </w:num>
  <w:num w:numId="12">
    <w:abstractNumId w:val="2"/>
  </w:num>
  <w:num w:numId="13">
    <w:abstractNumId w:val="14"/>
  </w:num>
  <w:num w:numId="14">
    <w:abstractNumId w:val="16"/>
  </w:num>
  <w:num w:numId="15">
    <w:abstractNumId w:val="13"/>
  </w:num>
  <w:num w:numId="16">
    <w:abstractNumId w:val="3"/>
  </w:num>
  <w:num w:numId="17">
    <w:abstractNumId w:val="11"/>
  </w:num>
  <w:num w:numId="18">
    <w:abstractNumId w:val="21"/>
  </w:num>
  <w:num w:numId="19">
    <w:abstractNumId w:val="25"/>
  </w:num>
  <w:num w:numId="20">
    <w:abstractNumId w:val="28"/>
  </w:num>
  <w:num w:numId="21">
    <w:abstractNumId w:val="7"/>
  </w:num>
  <w:num w:numId="22">
    <w:abstractNumId w:val="29"/>
  </w:num>
  <w:num w:numId="23">
    <w:abstractNumId w:val="26"/>
  </w:num>
  <w:num w:numId="24">
    <w:abstractNumId w:val="24"/>
  </w:num>
  <w:num w:numId="25">
    <w:abstractNumId w:val="25"/>
  </w:num>
  <w:num w:numId="26">
    <w:abstractNumId w:val="20"/>
  </w:num>
  <w:num w:numId="27">
    <w:abstractNumId w:val="4"/>
  </w:num>
  <w:num w:numId="28">
    <w:abstractNumId w:val="22"/>
  </w:num>
  <w:num w:numId="29">
    <w:abstractNumId w:val="17"/>
  </w:num>
  <w:num w:numId="30">
    <w:abstractNumId w:val="10"/>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3412B"/>
    <w:rsid w:val="000646A9"/>
    <w:rsid w:val="000C39FE"/>
    <w:rsid w:val="000C5EA0"/>
    <w:rsid w:val="00161C78"/>
    <w:rsid w:val="001708B7"/>
    <w:rsid w:val="001836BB"/>
    <w:rsid w:val="001A29E0"/>
    <w:rsid w:val="001D7802"/>
    <w:rsid w:val="0022611F"/>
    <w:rsid w:val="002507C2"/>
    <w:rsid w:val="002549F8"/>
    <w:rsid w:val="003133A6"/>
    <w:rsid w:val="00365663"/>
    <w:rsid w:val="0038453A"/>
    <w:rsid w:val="003933CC"/>
    <w:rsid w:val="003C7DAB"/>
    <w:rsid w:val="003F1B2F"/>
    <w:rsid w:val="00424A5A"/>
    <w:rsid w:val="00441F11"/>
    <w:rsid w:val="0046061F"/>
    <w:rsid w:val="00496302"/>
    <w:rsid w:val="004B34B5"/>
    <w:rsid w:val="00550855"/>
    <w:rsid w:val="00556816"/>
    <w:rsid w:val="005B3896"/>
    <w:rsid w:val="005D3201"/>
    <w:rsid w:val="005D5EA3"/>
    <w:rsid w:val="005F7DC4"/>
    <w:rsid w:val="00637BE6"/>
    <w:rsid w:val="00693961"/>
    <w:rsid w:val="00704884"/>
    <w:rsid w:val="00723963"/>
    <w:rsid w:val="007A04CD"/>
    <w:rsid w:val="007A30D9"/>
    <w:rsid w:val="00830A08"/>
    <w:rsid w:val="0087716B"/>
    <w:rsid w:val="00886791"/>
    <w:rsid w:val="008C092A"/>
    <w:rsid w:val="008E46D1"/>
    <w:rsid w:val="008F314A"/>
    <w:rsid w:val="00933BEB"/>
    <w:rsid w:val="00991829"/>
    <w:rsid w:val="009A3E84"/>
    <w:rsid w:val="009D2E06"/>
    <w:rsid w:val="009E158C"/>
    <w:rsid w:val="00A00D21"/>
    <w:rsid w:val="00A05C73"/>
    <w:rsid w:val="00A1440B"/>
    <w:rsid w:val="00A17575"/>
    <w:rsid w:val="00A24BC6"/>
    <w:rsid w:val="00A6389C"/>
    <w:rsid w:val="00A6626B"/>
    <w:rsid w:val="00A95940"/>
    <w:rsid w:val="00AB6E6C"/>
    <w:rsid w:val="00B05C73"/>
    <w:rsid w:val="00B20B6E"/>
    <w:rsid w:val="00B56B2B"/>
    <w:rsid w:val="00B70BC8"/>
    <w:rsid w:val="00BA3406"/>
    <w:rsid w:val="00BA38BA"/>
    <w:rsid w:val="00BA3B3A"/>
    <w:rsid w:val="00BD34E5"/>
    <w:rsid w:val="00BF27A1"/>
    <w:rsid w:val="00BF56D3"/>
    <w:rsid w:val="00C20D9B"/>
    <w:rsid w:val="00C92A83"/>
    <w:rsid w:val="00CA6781"/>
    <w:rsid w:val="00CF4360"/>
    <w:rsid w:val="00CF671D"/>
    <w:rsid w:val="00D0530B"/>
    <w:rsid w:val="00D266D6"/>
    <w:rsid w:val="00D37BCD"/>
    <w:rsid w:val="00D519F3"/>
    <w:rsid w:val="00D6217E"/>
    <w:rsid w:val="00DF2D98"/>
    <w:rsid w:val="00E458E9"/>
    <w:rsid w:val="00E51016"/>
    <w:rsid w:val="00E5104A"/>
    <w:rsid w:val="00E85025"/>
    <w:rsid w:val="00EB24F7"/>
    <w:rsid w:val="00ED3D55"/>
    <w:rsid w:val="00F00029"/>
    <w:rsid w:val="00F0289F"/>
    <w:rsid w:val="00F16D02"/>
    <w:rsid w:val="00F7180C"/>
    <w:rsid w:val="00F85F7D"/>
    <w:rsid w:val="00F90BEC"/>
    <w:rsid w:val="00FA1E40"/>
    <w:rsid w:val="00FF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33024D"/>
  <w15:chartTrackingRefBased/>
  <w15:docId w15:val="{C3576734-6903-422D-8090-9CE95D0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aliases w:val="za tekst,Odstavek seznama_IP"/>
    <w:basedOn w:val="Normal"/>
    <w:link w:val="ListParagraphChar"/>
    <w:uiPriority w:val="34"/>
    <w:qFormat/>
    <w:rsid w:val="005F7DC4"/>
    <w:pPr>
      <w:ind w:left="720"/>
      <w:contextualSpacing/>
    </w:pPr>
  </w:style>
  <w:style w:type="paragraph" w:customStyle="1" w:styleId="Navadensplet1">
    <w:name w:val="Navaden (splet)1"/>
    <w:basedOn w:val="Normal"/>
    <w:rsid w:val="005D3201"/>
    <w:pPr>
      <w:jc w:val="both"/>
    </w:pPr>
    <w:rPr>
      <w:rFonts w:ascii="Arial" w:hAnsi="Arial"/>
      <w:szCs w:val="20"/>
      <w:lang w:eastAsia="sl-SI"/>
    </w:rPr>
  </w:style>
  <w:style w:type="character" w:customStyle="1" w:styleId="HeaderChar">
    <w:name w:val="Header Char"/>
    <w:link w:val="Header"/>
    <w:locked/>
    <w:rsid w:val="005D3201"/>
    <w:rPr>
      <w:sz w:val="24"/>
      <w:szCs w:val="24"/>
      <w:lang w:eastAsia="en-US"/>
    </w:rPr>
  </w:style>
  <w:style w:type="character" w:customStyle="1" w:styleId="EndnoteTextChar">
    <w:name w:val="Endnote Text Char"/>
    <w:basedOn w:val="DefaultParagraphFont"/>
    <w:link w:val="EndnoteText"/>
    <w:semiHidden/>
    <w:rsid w:val="008C092A"/>
    <w:rPr>
      <w:rFonts w:ascii="SL Dutch" w:hAnsi="SL Dutch"/>
      <w:szCs w:val="24"/>
      <w:lang w:eastAsia="en-US"/>
    </w:rPr>
  </w:style>
  <w:style w:type="paragraph" w:styleId="NormalWeb">
    <w:name w:val="Normal (Web)"/>
    <w:basedOn w:val="Normal"/>
    <w:rsid w:val="008C092A"/>
    <w:pPr>
      <w:spacing w:after="210"/>
    </w:pPr>
    <w:rPr>
      <w:color w:val="333333"/>
      <w:sz w:val="18"/>
      <w:szCs w:val="18"/>
      <w:lang w:eastAsia="sl-SI"/>
    </w:rPr>
  </w:style>
  <w:style w:type="paragraph" w:customStyle="1" w:styleId="len">
    <w:name w:val="člen"/>
    <w:basedOn w:val="Normal"/>
    <w:rsid w:val="008C092A"/>
    <w:pPr>
      <w:numPr>
        <w:numId w:val="27"/>
      </w:numPr>
      <w:jc w:val="center"/>
    </w:pPr>
    <w:rPr>
      <w:rFonts w:ascii="Arial" w:hAnsi="Arial" w:cs="Arial"/>
      <w:b/>
      <w:sz w:val="20"/>
      <w:szCs w:val="20"/>
      <w:lang w:eastAsia="sl-SI"/>
    </w:rPr>
  </w:style>
  <w:style w:type="character" w:customStyle="1" w:styleId="ListParagraphChar">
    <w:name w:val="List Paragraph Char"/>
    <w:aliases w:val="za tekst Char,Odstavek seznama_IP Char"/>
    <w:link w:val="ListParagraph"/>
    <w:uiPriority w:val="34"/>
    <w:locked/>
    <w:rsid w:val="00F718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965">
      <w:bodyDiv w:val="1"/>
      <w:marLeft w:val="0"/>
      <w:marRight w:val="0"/>
      <w:marTop w:val="0"/>
      <w:marBottom w:val="0"/>
      <w:divBdr>
        <w:top w:val="none" w:sz="0" w:space="0" w:color="auto"/>
        <w:left w:val="none" w:sz="0" w:space="0" w:color="auto"/>
        <w:bottom w:val="none" w:sz="0" w:space="0" w:color="auto"/>
        <w:right w:val="none" w:sz="0" w:space="0" w:color="auto"/>
      </w:divBdr>
    </w:div>
    <w:div w:id="1803691114">
      <w:bodyDiv w:val="1"/>
      <w:marLeft w:val="0"/>
      <w:marRight w:val="0"/>
      <w:marTop w:val="0"/>
      <w:marBottom w:val="0"/>
      <w:divBdr>
        <w:top w:val="none" w:sz="0" w:space="0" w:color="auto"/>
        <w:left w:val="none" w:sz="0" w:space="0" w:color="auto"/>
        <w:bottom w:val="none" w:sz="0" w:space="0" w:color="auto"/>
        <w:right w:val="none" w:sz="0" w:space="0" w:color="auto"/>
      </w:divBdr>
    </w:div>
    <w:div w:id="1861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40</TotalTime>
  <Pages>2</Pages>
  <Words>700</Words>
  <Characters>4346</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Sprememba razpisne dokumentacije</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Pavčič</dc:creator>
  <cp:keywords/>
  <dc:description/>
  <cp:lastModifiedBy>Sabina</cp:lastModifiedBy>
  <cp:revision>10</cp:revision>
  <cp:lastPrinted>2021-02-15T16:13:00Z</cp:lastPrinted>
  <dcterms:created xsi:type="dcterms:W3CDTF">2021-02-05T12:27:00Z</dcterms:created>
  <dcterms:modified xsi:type="dcterms:W3CDTF">2021-02-15T16:13:00Z</dcterms:modified>
</cp:coreProperties>
</file>